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MIDERA FOOD PROCESSING,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001-43265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39-3886250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664"/>
        <w:spacing w:after="0"/>
        <w:rPr>
          <w:sz w:val="20"/>
          <w:szCs w:val="20"/>
          <w:color w:val="auto"/>
        </w:rPr>
      </w:pPr>
      <w:r>
        <w:rPr>
          <w:rFonts w:ascii="Times New Roman" w:cs="Times New Roman" w:eastAsia="Times New Roman" w:hAnsi="Times New Roman"/>
          <w:sz w:val="17"/>
          <w:szCs w:val="17"/>
          <w:b w:val="1"/>
          <w:bCs w:val="1"/>
          <w:color w:val="auto"/>
        </w:rPr>
        <w:t>10275 West Higgins Road, Suite 300, Rosemont, Illinois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60018</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(847) 857-6696</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MFP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Midera Food Processing, Inc. (the “Company”), a wholly-owned subsidiary of The Middleby Corporation (“Middleby”), previously filed with the U.S. Securities and Exchange Commission (the “SEC”) a Registration Statement on Form 10, initially filed on May 4, 2026 and amended on May 27, 2026 (as amended, the “Form 10”), in connection with the anticipated spin-off of Middleby’s Food Processing business into an independent, publicly traded company (the “Spin-off”). On June 17, 2026, the Form 10 was declared effective by the SEC. The Form 10 includes a preliminary information statement that describes the Spin-off and provides important information regarding the Company’s business and management.</w:t>
      </w:r>
    </w:p>
    <w:p>
      <w:pPr>
        <w:spacing w:after="0" w:line="183"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final information statement, dated June 22, 2026 (the “Information Statement”), is attached hereto as Exhibit 99.1. Middleby expects to begin mailing the Information Statement (or a Notice of Internet Availability of Information Statement Materials, the form of which is attached hereto as Exhibit 99.2), to its stockholders on or about June 22, 2026.</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Middleby will distribute all of the issued and outstanding shares of Company common stock to the holders of record of Middleby common stock at 12:01 a.m. (New York time) on July 6, 2026 (the “Distribution Date”). On the Distribution Date, holders of record of Middleby common stock will receive one share of Company common stock for every share of Middleby common stock they hold as of 4:00 p.m. Central Time on June 26, 2026, the record date for the distribution.</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Completion of the Spin-off is conditioned upon the satisfaction or waiver of certain conditions, as set forth in the form of Separation and Distribution Agreement filed with the SEC as part of the Form 10.</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anticipates that Company common stock will begin trading on The Nasdaq Stock Market LLC (the “Nasdaq”) under the ticker symbol “MFPVV” on a “when-issued” basis on or about June 26, 2026 and continuing through the Distribution Date. The Company common stock is expected to begin trading “regular way” on Nasdaq under the ticker symbol “MFP” on July 7, 2026.</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Information Statement of Midera Food Processing, Inc., dated June 22,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Form of Notice of Internet Availability of Information Statement Materials.</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subject to the Private Securities Litigation Reform Act of 1995, including statements regarding expectations with respect to the timing of the Spin-off. The Company cautions investors that such statements are estimates and are highly dependent upon a variety of factors. These forward-looking statements involve known and unknown risks, uncertainties and other factors, which could cause the Company’s actual results, performance or outcomes to differ materially from those expressed or implied in the forward-looking statements. The following are some of the important factors that could cause the Company’s actual results, performance or outcomes to differ materially from those discussed in the forward-looking statements: changing market conditions; volatility in earnings resulting from goodwill impairment losses, which may occur irregularly and in varying amounts; variability in financing costs and interest rates; quarterly variations in operating results; dependence on key customers; risks associated with the Company’s foreign operations, including international exposure, political risks affecting international sales, market acceptance and demand for the Company’s products and the Company’s ability to manage the risk associated with the exposure to foreign currency exchange rate fluctuations; the Company’s ability to protect its trademarks, copyrights and other intellectual property; changing market conditions, including inflation; the impact of competitive products and pricing; the impact of announced management and organizational changes; intense competition in the Company’s business including the impact of both new and established global competitors; unfavorable tax law changes and tax authority rulings; cybersecurity attacks and other breaches in security; the continued ability to realize profitable growth through the sourcing and completion of strategic acquisitions; the timely development and market acceptance of the Company’s products; the availability and cost of raw materials; the possibility that the Spin-off will not be consummated within the anticipated time period or at all, including as the result of regulatory, market or other factors, including the possibility that various closing conditions for the Spin-off may not be satisfied; the potential disruption to the Company’s business in connection with the Spin-off; the potential that the Company does not realize all of</w:t>
      </w:r>
    </w:p>
    <w:p>
      <w:pPr>
        <w:sectPr>
          <w:pgSz w:w="11900" w:h="16838" w:orient="portrait"/>
          <w:cols w:equalWidth="0" w:num="1">
            <w:col w:w="11000"/>
          </w:cols>
          <w:pgMar w:left="440" w:top="293" w:right="459" w:bottom="1440" w:gutter="0" w:footer="0" w:header="0"/>
        </w:sectPr>
      </w:pPr>
    </w:p>
    <w:bookmarkStart w:id="2" w:name="page3"/>
    <w:bookmarkEnd w:id="2"/>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expected benefits of the Spin-off; the potential that the Spin-off may be more difficult, time consuming or costly than expected; the failure of the Spin-off to qualify for the expected tax treatment; potential adverse effects of the results of the Spin-off, including on the market price of the Company’s common stock, the ability of the Company to develop and maintain relationships with personnel, customers, suppliers and others with whom it does business or the Company’s business, financial condition, results of operations and financial performance; risks related to diversion of the Company’s management’s attention from its ongoing business operations due to the Spin-off; and other risks detailed in the Company’s SEC filings. All forward-looking statements are expressly qualified in their entirety by these cautionary statements. The forward-looking statements included in this press release are made only as of the date hereof and, except as required by federal securities laws and rules and regulations of the SEC, the Company undertakes no obligation to publicly update or revise any forward-looking statements, whether as a result of new information, future events or otherwise.</w:t>
      </w:r>
    </w:p>
    <w:p>
      <w:pPr>
        <w:sectPr>
          <w:pgSz w:w="11900" w:h="16838" w:orient="portrait"/>
          <w:cols w:equalWidth="0" w:num="1">
            <w:col w:w="10980"/>
          </w:cols>
          <w:pgMar w:left="440" w:top="297" w:right="47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MIDERA FOOD PROCESSING, INC.</w:t>
      </w:r>
    </w:p>
    <w:p>
      <w:pPr>
        <w:spacing w:after="0" w:line="225" w:lineRule="exact"/>
        <w:rPr>
          <w:sz w:val="20"/>
          <w:szCs w:val="20"/>
          <w:color w:val="auto"/>
        </w:rPr>
      </w:pPr>
    </w:p>
    <w:p>
      <w:pPr>
        <w:spacing w:after="0"/>
        <w:tabs>
          <w:tab w:leader="none" w:pos="5260" w:val="left"/>
          <w:tab w:leader="none" w:pos="582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Michael D. Thompson</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Vice President, General Counsel and Secretary</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35445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4455" cy="21463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The Middleby Corporation Stockholder:</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February 2025, we announced our plan to separate The Middleby Corporation’s (“Middleby”) food processing business (the “Food Processing business”) into a standalone public company, resulting in two industry leading technology-driven innovators in their respective markets. This separation will create a heightened strategic focus at each business, with dedicated leadership teams having deep domain expertise. Middleby believes that both the long-term potential and overall valuation of each business segment will be enhanced from this business separation.</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Middleby has successfully built a premier food processing equipment business with the necessary scale to take this next strategic step. Middleby’s Food Processing business is today positioned with best-in-class solutions serving large, attractive markets supported by favorable industry trends. The separation will enable Middleby’s Food Processing business, which following the separation will operate as Midera Food Processing, Inc., to accelerate growth strategies and more quickly scale the business through both organic initiatives and strategic acquisitions.</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Following the completion of the separation, Middleby will specialize entirely in kitchen equipment across restaurant, institutional and commercial markets, with a focus on driving product innovation and organic growth across its portfolio of industry-leading brands. Middleby expects to realize the benefits from forward-looking investments in next generation kitchen technologies, enhancing our value proposition to customers in rapidly changing markets. We expect to further develop our growing product offerings in the ice &amp; beverage category, a targeted market with attractive growth and emerging customer trends. Middleby will continue expanding its differentiated go-to-market capabilities, leveraging the scale of the portfolio to drive added services and elevated experiences to our customers. Building upon its long-standing strong financial foundation, Middleby will continue delivering top-tier margins, returns and cash generation.</w:t>
      </w:r>
    </w:p>
    <w:p>
      <w:pPr>
        <w:spacing w:after="0" w:line="18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spin-off will be effected through a pro rata distribution of all of the outstanding shares of SpinCo common stock to holders of Middleby common stock in a transaction that is intended to be tax-free to holders of Middleby common stock for U.S. federal income tax purposes. Each Middleby stockholder will receive one share of SpinCo common stock for every one share of Middleby common stock held of record by such Middleby stockholder as of 4:00 p.m. Central Time on June 26, 2026, the record date for the distribution. Stockholder approval of the distribution is not required, and you do not need to take any action to receive the shares of SpinCo common stock to which you are entitled as a Middleby stockholder. In addition, you do not need to pay any consideration or surrender or exchange your Middleby common stock in order to receive shares of SpinCo common stock.</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received approval to list SpinCo common stock on the Nasdaq Stock Market LLC (“Nasdaq”) under the ticker symbol “MFP.” Following the spin-off, we expect shares of Middleby common stock will continue to trade on Nasdaq.</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 encourage you to read the attached information statement, which is being made available to all holders of Middleby common stock as of 4:00 p.m. Central Time on June 26, 2026. The information statement describes the separation and distribution in detail and contains important business and financial information about SpinCo.</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believe the separation provides tremendous opportunities for our businesses as we work to continue to build long-term value. We appreciate your continued support of Middleby and look forward to your future support of SpinCo.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Middleby Corporation</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22960" cy="334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22960" cy="334010"/>
                    </a:xfrm>
                    <a:prstGeom prst="rect">
                      <a:avLst/>
                    </a:prstGeom>
                    <a:noFill/>
                  </pic:spPr>
                </pic:pic>
              </a:graphicData>
            </a:graphic>
          </wp:anchor>
        </w:drawing>
        <w:t>Dear Future Midera Food Processing, Inc. Stockholder:</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 am delighted to welcome you as a future stockholder of our new company, Midera Food Processing, Inc. (“Midera”), which will soon begin operating independently as a pure-play leader in food processing technology for industrial protein, bakery and snack processors, following completion of our planned spin-off from Middleby.</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are eager to enter the next chapter in the evolution of our growing business. As explained in the enclosed information statement, Midera aims to leverage its industry-leading food processing brands, proven operating model and innovative solutions designed to help our customers accelerate throughput, increase yields, expand capacity, maximize sanitation, maintain product consistency, practice sustainability and lower their total cost of ownership.</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product portfolio includes a comprehensive set of food preparation, forming, portioning, automation, thermal processing, slicing/packaging and equipment sanitation solutions. We seek to offer highly integrated total line solutions, from further processing through end-of-line, that provide a food processing operation with an engineered solution indexed to customers’ evolving demands. Our business is also well-positioned to advance our aftermarket parts, service and modernization offerings, which increase customer satisfaction and create opportunities for our customers to be informed about our newer technologies.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in attractive markets with favorable industry trends and leveraging existing relationships with leading industrial customers, Midera will continue its focus on total line solutions, further expansion into adjacent markets and launching new product innovations to bolster its growth trajectory. Alongside its actionable organic initiatives, Midera’s proven M&amp;A track record and strong pipeline supports a significant growth opportunity and ability to quickly scale.</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have received approval to list Midera common stock on the Nasdaq Stock Market LLC under the ticker symbol “MFP” and invite you to learn more about Midera by reviewing the enclosed information statement. Our prospects are very bright, and we thank you in advance for your support as a future stockholder of Midera.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Midera Food Processing, Inc.</w:t>
      </w:r>
    </w:p>
    <w:p>
      <w:pPr>
        <w:sectPr>
          <w:pgSz w:w="11900" w:h="16838" w:orient="portrait"/>
          <w:cols w:equalWidth="0" w:num="1">
            <w:col w:w="10980"/>
          </w:cols>
          <w:pgMar w:left="440" w:top="904" w:right="4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STATEMENT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Midera Food Processing, Inc.</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148590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3"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This information statement is being furnished in connection with the distribution by The Middleby Corporation (“Middleby”) to its stockholders of shares of common stock of Midera Food Processing, Inc. (“SpinCo”), a wholly owned subsidiary of Middleby. Prior to such distribution, Middleby, SpinCo and their applicable affiliates will consummate a series of transactions to separate Middleby and SpinCo, resulting in Middleby (and its subsidiaries) continuing to own Middleby’s commercial foodservice equipment group (the “Commercial Foodservice business”) and SpinCo (and its subsidiaries) owning Middleby’s food processing equipment group (the “Food Processing business”), as more fully described in this information statement (the separation and distribution transactions together, the “spin-off”). Middleby will effect the distribution by distributing 100% of the outstanding shares of SpinCo common stock owned by Middleby on a pro rata basis to stockholders of record of Middleby as of the record date. The distribution is subject to certain conditions, as set forth in this information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every one share of Middleby common stock held of record by you as of 4:00 p.m. Central Time on June 26, 2026, the record date for the distribution (as defined below), you will receive one share of SpinCo common stock. We expect SpinCo common stock will be distributed by Middleby on or about July 6, 2026, the distribution date. As discussed under the section of this information statement entitled “The Separation and Distribution—Trading Between the Record Date and the Distribution Date,” if you sell your shares of Middleby common stock in the “regular-way” market after the record date for the distribution and before the distribution date, you also will be selling your right to receive shares of SpinCo common stock in connection with the spin-off.</w:t>
      </w:r>
    </w:p>
    <w:p>
      <w:pPr>
        <w:spacing w:after="0" w:line="20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4"/>
          <w:szCs w:val="14"/>
          <w:color w:val="auto"/>
        </w:rPr>
        <w:t>We are not asking you for a proxy and you are not requested to send Middleby a proxy. No vote of Middleby stockholders is required in connection with the spin-off. You will not be required to pay any consideration or to exchange or surrender your existing shares of Middleby common stock or take any other action to receive shares of SpinCo common stock to which you are entitled on the distribution date.</w:t>
      </w:r>
    </w:p>
    <w:p>
      <w:pPr>
        <w:spacing w:after="0" w:line="6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distribution is intended to be tax-free to our stockholders for U.S. federal income tax purposes. You should consult your tax advisor as to the particular consequences of the distribution to you, including the applicability and effect of any U.S. federal, state and local, and any foreign, tax laws.</w:t>
      </w:r>
    </w:p>
    <w:p>
      <w:pPr>
        <w:spacing w:after="0" w:line="5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SpinCo is an “emerging growth company,” as defined in the Jumpstart Our Business Startups Act of 2012 (the “JOBS Act”), and, as such, is allowed to provide in this information statement more limited disclosures than an issuer that would not so qualify. In addition, for so long as SpinCo remains an emerging growth company, it may also take advantage of certain limited exceptions from investor protection laws such as the Sarbanes-Oxley Act of 2002, as amended (the “Sarbanes-Oxley Act”), and the Investor Protection and Securities Reform Act of 2010, for limited periods. See “Information Statement Summary—Emerging Growth Company Status of SpinCo.”</w:t>
      </w:r>
    </w:p>
    <w:p>
      <w:pPr>
        <w:spacing w:after="0" w:line="6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4"/>
          <w:szCs w:val="14"/>
          <w:color w:val="auto"/>
        </w:rPr>
        <w:t>There is no current trading market for SpinCo common stock, although we expect that a limited market, commonly known as a “when-issued” trading market, will develop shortly before the distribution date, and we expect “regular-way” trading of SpinCo common stock to begin on the first trading day following the completion of the distribution. We have received approval to list SpinCo common stock on the Nasdaq Stock Market LLC (“Nasdaq”) under the symbol “MFP.”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143510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This information statement is being furnished solely to provide information to Middleby stockholders who are entitled to receive shares of SpinCo common stock in the distribution. The information statement is not, and is not to be construed as, an offer to sell or the solicitation of an offer to buy any of our securities or an inducement or encouragement to buy, hold or sell any of our securities or securities of Middleby. We believe that the information in this information statement is accurate as of the date set forth on the cover. Changes to the information contained in this information statement may occur after that date, and none of us, Middleby, the board of directors of SpinCo (the “SpinCo Board”) or the board of directors of Middleby (the “Middleby Board”) undertakes any obligation to update such information, except in the normal course of our and Middleby’s public disclosure obligations and practices and as required by applicable federal securities laws.</w:t>
      </w:r>
    </w:p>
    <w:p>
      <w:pPr>
        <w:spacing w:after="0" w:line="96"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At the time our registration statement, of which this information statement is a part, is declared effective by the United States Securities and Exchange Commission (the “SEC”), SpinCo will become subject to the information and reporting requirements of the Securities Exchange Act of 1934 (the “Exchange Act”), and, in accordance with the Exchange Act, will be required to file periodic reports (including Annual Reports on Form 10-K, Quarterly Reports on Form 10-Q and Current Reports on Form 8-K), proxy statements and other information with the SEC. The SEC maintains a website, www.sec.gov, that contains periodic reports, proxy statements and information statements and other information regarding issuers, like us, that file electronically with the SEC. We encourage you to review our periodic reports, proxy statements and information statements, and any other information we file with the SEC when they are made available, as they will contain important information about SpinCo, in particular for periods after the date of this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reviewing the information statement, you should carefully consider the matters described under the caption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xml:space="preserve"> beginning on page 35.</w:t>
      </w:r>
    </w:p>
    <w:p>
      <w:pPr>
        <w:spacing w:after="0" w:line="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Neither the SEC nor any state securities commission has approved or disapproved of these securities or determined if this information statement is truthful or complete. Any representation to the contrary is a criminal offense.</w:t>
      </w:r>
    </w:p>
    <w:p>
      <w:pPr>
        <w:spacing w:after="0" w:line="5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This information statement is first being made available to Middleby stockholders on or about June 22, 2026, and a Notice of Internet Availability of Information Statement Materials containing instructions describing how to access this information statement was first mailed to Middleby stockholders on or about June 22, 2026. This information statement will be mailed to any Middleby stockholders who previously elected to receive a paper copy of Middleby’s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135255</wp:posOffset>
            </wp:positionV>
            <wp:extent cx="147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information statement is June 22, 2026.</w:t>
      </w:r>
    </w:p>
    <w:p>
      <w:pPr>
        <w:sectPr>
          <w:pgSz w:w="11900" w:h="16838" w:orient="portrait"/>
          <w:cols w:equalWidth="0" w:num="1">
            <w:col w:w="11000"/>
          </w:cols>
          <w:pgMar w:left="440" w:top="250"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4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60" w:type="dxa"/>
            <w:vAlign w:val="bottom"/>
          </w:tcPr>
          <w:p>
            <w:pPr>
              <w:spacing w:after="0"/>
              <w:rPr>
                <w:sz w:val="20"/>
                <w:szCs w:val="20"/>
                <w:color w:val="auto"/>
              </w:rPr>
            </w:pPr>
          </w:p>
        </w:tc>
      </w:tr>
      <w:tr>
        <w:trPr>
          <w:trHeight w:val="418"/>
        </w:trPr>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INFORMATION STATEMENT SUMMARY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4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OF THE SEPARATION AND DISTRIBUTION</w:t>
            </w:r>
          </w:p>
        </w:tc>
        <w:tc>
          <w:tcPr>
            <w:tcW w:w="534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SUMMARY OF HISTORICAL AND UNAUDITED PRO FORMA CONDENSED COMBINED FINANCIAL DATA</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5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SEPARATION AND DISTRIBUTION</w:t>
            </w:r>
          </w:p>
        </w:tc>
        <w:tc>
          <w:tcPr>
            <w:tcW w:w="122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62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32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THE SEPARATION AND DISTRIBUTION</w:t>
            </w:r>
          </w:p>
        </w:tc>
        <w:tc>
          <w:tcPr>
            <w:tcW w:w="2040" w:type="dxa"/>
            <w:vAlign w:val="bottom"/>
            <w:tcBorders>
              <w:top w:val="single" w:sz="8" w:color="0000EE"/>
            </w:tcBorders>
            <w:gridSpan w:val="6"/>
          </w:tcPr>
          <w:p>
            <w:pPr>
              <w:spacing w:after="0"/>
              <w:rPr>
                <w:sz w:val="17"/>
                <w:szCs w:val="17"/>
                <w:color w:val="auto"/>
              </w:rPr>
            </w:pPr>
          </w:p>
        </w:tc>
        <w:tc>
          <w:tcPr>
            <w:tcW w:w="4480" w:type="dxa"/>
            <w:vAlign w:val="bottom"/>
            <w:gridSpan w:val="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67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OF THE DISTRIBUTION</w:t>
            </w:r>
          </w:p>
        </w:tc>
        <w:tc>
          <w:tcPr>
            <w:tcW w:w="308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220" w:type="dxa"/>
            <w:vAlign w:val="bottom"/>
            <w:gridSpan w:val="1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CAPITALIZATION</w:t>
            </w:r>
          </w:p>
        </w:tc>
        <w:tc>
          <w:tcPr>
            <w:tcW w:w="8340" w:type="dxa"/>
            <w:vAlign w:val="bottom"/>
            <w:gridSpan w:val="1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65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322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78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UNAUDITED PRO FORMA CONDENSED COMBINED FINANCIAL INFORMATION</w:t>
            </w:r>
          </w:p>
        </w:tc>
        <w:tc>
          <w:tcPr>
            <w:tcW w:w="192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13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600" w:type="dxa"/>
            <w:vAlign w:val="bottom"/>
            <w:tcBorders>
              <w:top w:val="single" w:sz="8" w:color="0000EE"/>
            </w:tcBorders>
            <w:gridSpan w:val="18"/>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196"/>
        </w:trPr>
        <w:tc>
          <w:tcPr>
            <w:tcW w:w="24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36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r>
      <w:tr>
        <w:trPr>
          <w:trHeight w:val="196"/>
        </w:trPr>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20"/>
        </w:trPr>
        <w:tc>
          <w:tcPr>
            <w:tcW w:w="2320" w:type="dxa"/>
            <w:vAlign w:val="bottom"/>
            <w:gridSpan w:val="6"/>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8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4940" w:type="dxa"/>
            <w:vAlign w:val="bottom"/>
            <w:gridSpan w:val="8"/>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196"/>
        </w:trPr>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196"/>
        </w:trPr>
        <w:tc>
          <w:tcPr>
            <w:tcW w:w="67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CERTAIN INDEBTEDNESS</w:t>
            </w:r>
          </w:p>
        </w:tc>
        <w:tc>
          <w:tcPr>
            <w:tcW w:w="308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r>
      <w:tr>
        <w:trPr>
          <w:trHeight w:val="196"/>
        </w:trPr>
        <w:tc>
          <w:tcPr>
            <w:tcW w:w="36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180" w:type="dxa"/>
            <w:vAlign w:val="bottom"/>
            <w:gridSpan w:val="1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20"/>
        </w:trPr>
        <w:tc>
          <w:tcPr>
            <w:tcW w:w="2860" w:type="dxa"/>
            <w:vAlign w:val="bottom"/>
            <w:gridSpan w:val="8"/>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6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8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20"/>
        </w:trPr>
        <w:tc>
          <w:tcPr>
            <w:tcW w:w="3800" w:type="dxa"/>
            <w:vAlign w:val="bottom"/>
            <w:gridSpan w:val="11"/>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60" w:type="dxa"/>
            <w:vAlign w:val="bottom"/>
            <w:gridSpan w:val="1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COMBINED FINANCIAL STATEMENTS</w:t>
            </w:r>
          </w:p>
        </w:tc>
        <w:tc>
          <w:tcPr>
            <w:tcW w:w="5760" w:type="dxa"/>
            <w:vAlign w:val="bottom"/>
            <w:gridSpan w:val="10"/>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374"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PRESENTATION OF INFORMATION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references in this information statement to “SpinCo,” the “Company,” “we,” “us,” “our” and “our company” refer to Midera Food Processing, Inc. and its consolidated subsidiaries. References in this information statement to “Middleby” refer to The Middleby Corporation and its consolidated subsidiaries (other than SpinCo and its consolidated subsidiaries), unless the context otherwise requires or as otherwise specified herein.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the information included in this information statement about SpinCo assumes the completion of all of the transactions referred to in this information statement in connection with the spin-off. This information statement describes the business to be transferred to SpinCo by Middleby in the separation as if the transferred business was our business for all historical periods described. References in this information statement to our historical assets, liabilities, products, businesses or activities are generally intended to refer to the historical assets, liabilities, products, businesses or activities of the transferred business as the business was conducted as part of Middleby and its subsidiaries prior to the completion of all the transactions referred to in this information statement in connection with the spin-off.</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Middleby stockholders who are entitled to receive shares of SpinCo common stock in the distribution. It is not, and is not to be construed as, an offer to sell or the solicitation of an offer to buy any of our securities or an inducement or encouragement to buy, hold or sell any of our securities or securities of Middleby. This information statement describes SpinCo’s business, SpinCo’s relationship with Middleby and how the spin-off affects Middleby and its stockholders and provides other information to assist you in evaluating the benefits and risks of holding or disposing of SpinCo common stock that you will receive in the distribution. You should carefully consider the risks relating to the spin-off, SpinCo’s business and ownership of SpinCo common stock, which are described under the section of this information statement entitled “Risk Factors.”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INFORMATION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information statement includes certain historical combined financial information and other information for SpinCo (referred to as “Food Processing Equipment Group,” “Spinco,” the “company” or “FPG” in the historical combined financial statements and related notes thereto) and certain historical combined financial information and other information for Middleby. In connection with the spin-off, SpinCo will become the holder of the assets and liabilities of the Food Processing business. SpinCo is the registrant under the registration statement of which this information statement forms a part and will be the financial reporting entity following the completion of the spin-off. Middleby is presently a financial reporting entity and will continue to be a financial reporting entity following the spin-off. This information statement also includes summary unaudited pro forma condensed combined balance sheet information as of April 4, 2026, and summary unaudited pro forma condensed combined statements of earnings information for the three months ended April 4, 2026 and the fiscal year ended January 3, 2026, which present our combined financial position and results of operations after giving effect to the spin-off and the other transactions described under “Unaudited Pro Forma Condensed Combined Financial Information.” The unaudited pro forma condensed combined financial statements are presented for illustrative purposes only and may not reflect what our financial condition or results of operations would have been if we had been a standalone company during the periods presented. In addition, the unaudited pro forma condensed combined financial statements may not reflect what our financial condition or results of operations may be in the future. You should read the sections of this information statement entitled “Unaudited Pro Forma Condensed Combined Financial Information” and “Notes to the Unaudited Pro Forma Condensed Combined Financial Information,” which are qualified in their entirety by reference to our historical combined financial statements and related notes thereto and the financial and other information in the sections of this information statement entitled “Risk Factors,” “Capitalization” and “Management’s Discussion and Analysis of Financial Condition and Results of Operations.”</w:t>
      </w:r>
    </w:p>
    <w:p>
      <w:pPr>
        <w:sectPr>
          <w:pgSz w:w="11900" w:h="16838" w:orient="portrait"/>
          <w:cols w:equalWidth="0" w:num="1">
            <w:col w:w="11000"/>
          </w:cols>
          <w:pgMar w:left="440" w:top="266" w:right="4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NON-GAAP FINANCIAL INFORMATION</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This information statement also contains certain financial measures, including Adjusted EBITDA, that are not required by, or prepared in accordance with, accounting principles generally accepted in the United States (“GAAP”). We refer to these measures as “non-GAAP” financial measures. See “Management’s Discussion and Analysis of Financial Condition and Results of Operations—Non-GAAP Financial Measures” for our definitions of these non-GAAP measures, information about how and why we use these non-GAAP measures and a reconciliation of each of these non-GAAP measures to its most directly comparable financial measure calculated in accordance with GAAP.</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information statement concerning our industry and the markets in which we operate, including our general expectations and market position, market opportunity and market share, is based on information from third-party sources, our own analysis of data received from these third-party sources, our own internal data, market research that we commission and management estimates. Our management estimates are derived from publicly available information, our knowledge of our industry and assumptions based on such information and knowledge, which we believe to be reasonable. Assumptions and estimates of our and our industry’s future performance are necessarily subject to a high degree of uncertainty and risk due to a variety of factors, including those described under the section of this information statement entitled “Risk Factors.” These and other factors could cause future performance to differ materially from our assumptions and estimates. For additional information, see the sections of this information statement entitled “Risk Factors” and “Special Note Regarding Forward-Looking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We own or have rights to various trademarks, logos, service marks and trade names that we use in connection with the operation of the Food Processing business (including certain trademarks, logos and trade names that are used under license from Middleby). We also own or have the rights to copyrights that protect the content of our products. Solely for convenience, certain of our trademarks, service marks, trade names and copyrights referred to in this information statement are listed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do not constitute a waiver of any rights that might be associated with the respective trademarks, service marks, trade names and copyrights included or referred to in this information statement.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998970" cy="5233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2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summary highlights some of the information in this information statement relating to SpinCo, our separation from Middleby and the distribution of SpinCo common stock by Middleby to its stockholders. For a more complete understanding of our business and the separation and distribution, you should read carefully the more detailed information set forth under the sections of this information statement entitled “Risk Factors,” “Management’s Discussion and Analysis of Financial Condition and Results of Operations,” “Business” and “The Separation and Distribution” and the other information included in this information statement.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Midera Food Processing, Inc.</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February 25, 2025, Middleby announced its intent to separate the Food Processing business into a standalone public company through a distribution of SpinCo common stock to Middleby stockholders. SpinCo will operate the Food Processing business, and Middleby will continue to operate the Commercial Foodservice business.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SpinCo is a technology-focused, global leader in the design and manufacturing of equipment and aftermarket service for a broad line of solutions for industrial protein, bakery and snack food processors. We are a growth-oriented, food processing pure-play, driven by our portfolio of innovative, complementary and industry-leading brands, with a nimble and profitable operating model and proven M&amp;A track record. Our global reach—supported by established regional offices and dedicated local operating teams across key international markets—is a core strategic advantage, enabling us to serve customers with regional expertise and on-the-ground responsiveness at scale.</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SpinCo operates within the large and growing global food processing equipment and packaging industry. Global demand for food processing equipment and packaging is estimated to be in excess of $70 billion worldwide and growing at an annual rate of 3% to 4% through 2028.</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generate revenue from the design, manufacturing and installation of food processing equipment and technology solutions and aftermarket parts and service. In 2025, we generated $853 million in net sales, comprised of $512 million, or 60% of net sales, from equipment and installation and</w:t>
      </w:r>
    </w:p>
    <w:p>
      <w:pPr>
        <w:ind w:right="80"/>
        <w:spacing w:after="0" w:line="260" w:lineRule="auto"/>
        <w:rPr>
          <w:sz w:val="20"/>
          <w:szCs w:val="20"/>
          <w:color w:val="auto"/>
        </w:rPr>
      </w:pPr>
      <w:r>
        <w:rPr>
          <w:rFonts w:ascii="Times New Roman" w:cs="Times New Roman" w:eastAsia="Times New Roman" w:hAnsi="Times New Roman"/>
          <w:sz w:val="18"/>
          <w:szCs w:val="18"/>
          <w:color w:val="auto"/>
        </w:rPr>
        <w:t>$341 million, or 40% of net sales, from aftermarket parts and service. We delivered $83 million in net earnings and $152 million in Adjusted EBITDA, representing 9.7% and 17.8% of 2025 net sales, respectively.</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brands operate in 29 total manufacturing sites globally, including 13 in the United States and 16 internationally across Denmark, France, Germany, India, Italy, Sweden and the United Kingdom. We supplement these manufacturing sites with state-of-the-art innovation centers in the United States, India and Italy, which support our brands and are available for development with technical performance and product testing for customers. Our operating footprint, supported by strategically located sales, parts and service offices, enables us to reach customers across six continents. We generated 56% of net sales in the United States and Canada and 44% of net sales in the Europe, Middle East and Africa, Latin America and Asia Pacific regions in 2025.</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9" w:right="47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065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06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customers include a diversified base of some of the largest international food processing companies and producers of protein products, such as bacon, charcuterie, sausage and hot dogs, egg bites, poultry, alternative protein, case ready, lunch meat and pet food, and producers of bakery products, such as bread and buns, artisan bread, sweet goods, cakes and muffins, biscuits, crackers, pizza and pastries, tortilla and snacks. We are witnessing food processors increasingly demand solutions to transform their operations, lowering their total cost of ownership, enhancing food quality and safety and addressing their operational safety and sustainability initiatives. No customer accounts for 10% or more of SpinCo’s net sales. As SpinCo serves a wide variety of markets, customer concentrations are not significant.</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Through our broad and synergistic line of innovative technology and solutions, we are able to deliver a wide range of food preparation, thermal processing, slicing/packaging, automation and equipment sanitation solutions to service a variety of food processing requirements demanded by our customers across protein, bakery and snack categories. Further, we offer highly integrated total line solutions, from further processing through end-of-line, designed to provide our customers even greater financial and operational efficiencies. Following the installation of our solutions, we recognize the ongoing value in sustaining performance and reducing downtime during our customers’ food processing operations, and we strive to build upon our growing, profitable aftermarket capabilities to support our intimate customer relationships, which can span multiple decades.</w:t>
      </w:r>
    </w:p>
    <w:p>
      <w:pPr>
        <w:spacing w:after="0" w:line="1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1440"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Growing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6998970" cy="66478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647815"/>
                    </a:xfrm>
                    <a:prstGeom prst="rect">
                      <a:avLst/>
                    </a:prstGeom>
                    <a:noFill/>
                  </pic:spPr>
                </pic:pic>
              </a:graphicData>
            </a:graphic>
          </wp:anchor>
        </w:drawing>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2005, SpinCo has successfully created a leading portfolio of innovative food processing brands, allocating over $800 million across more than 30 acquisitions. These investments have enabled us to become a leading partner in the global food processing market and expand into new product lines, end markets and geographies, allowing the company to diversify its revenue streams and more effectively insulate itself from a downturn in any one end market. Highlights of our acquisition history are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There has been substantial consolidation among food processors across the industry, which is driving a need for equipment and solutions capable of processing large volumes of quality products consistently across the world in quicker cycle times for a variety of end product markets. Through the acquisition and integration of numerous equipment, packaging and automation solutions, SpinCo has created total line solutions for targeted value-added niches of the end product markets including buns, bacon, charcuterie and hot dogs.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81" w:right="479" w:bottom="1440" w:gutter="0" w:footer="0" w:header="0"/>
        </w:sectPr>
      </w:pPr>
    </w:p>
    <w:bookmarkStart w:id="13" w:name="page14"/>
    <w:bookmarkEnd w:id="13"/>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believe the food processing equipment and packaging industry remains substantially fragmented and is in the early stages of a consolidation cycle which presents an opportunity for SpinCo. Our pipeline of prospective M&amp;A targets is robust, and we expect to make strategic investments to offer additional high value solutions for our customers in attractive protein, bakery and snack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-435610</wp:posOffset>
            </wp:positionV>
            <wp:extent cx="6998970" cy="4375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437578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Value Proposition</w:t>
      </w:r>
    </w:p>
    <w:p>
      <w:pPr>
        <w:spacing w:after="0" w:line="11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Through a proven, collaborative, customer-centric operating model, we provide innovative, customized solutions to meet our customers’ evolving needs. We aim to improve our customers’ ROI by lowering their cost of ownership and transforming their operations with unique solutions designed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33" w:lineRule="exact"/>
        <w:rPr>
          <w:sz w:val="20"/>
          <w:szCs w:val="20"/>
          <w:color w:val="auto"/>
        </w:rPr>
      </w:pPr>
    </w:p>
    <w:p>
      <w:pPr>
        <w:ind w:left="980" w:hanging="431"/>
        <w:spacing w:after="0" w:line="257"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Industry-Leading Brands: </w:t>
      </w:r>
      <w:r>
        <w:rPr>
          <w:rFonts w:ascii="Times New Roman" w:cs="Times New Roman" w:eastAsia="Times New Roman" w:hAnsi="Times New Roman"/>
          <w:sz w:val="18"/>
          <w:szCs w:val="18"/>
          <w:color w:val="auto"/>
        </w:rPr>
        <w:t>We have grown to over 30 industry-leading brands across the global protein, bakery and snack food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led by passionate management teams with extensive experience within the industry. The combination of their proven track record in new technology development, food science, operations management and deep industry knowledge positions us to build upon our long-standing customer relationships, including with some of the largest international food processing companies. The strong balance of brand identity and collaboration on customer success supports both our decentralized operating model and our ability to offer integrated solutions to drive higher ROI for our customers.</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83" w:right="499" w:bottom="1440" w:gutter="0" w:footer="0" w:header="0"/>
        </w:sectPr>
      </w:pPr>
    </w:p>
    <w:bookmarkStart w:id="14" w:name="page15"/>
    <w:bookmarkEnd w:id="14"/>
    <w:p>
      <w:pPr>
        <w:ind w:left="440" w:hanging="431"/>
        <w:spacing w:after="0" w:line="257" w:lineRule="auto"/>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Technology, Automation and Innovation: </w:t>
      </w:r>
      <w:r>
        <w:rPr>
          <w:rFonts w:ascii="Times New Roman" w:cs="Times New Roman" w:eastAsia="Times New Roman" w:hAnsi="Times New Roman"/>
          <w:sz w:val="18"/>
          <w:szCs w:val="18"/>
          <w:color w:val="auto"/>
        </w:rPr>
        <w:t>We develop innovative new products and automation solutions designed to help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product quality and consistency, increase throughput and yields, reduce operating and capital expenses, maximize sanitation and practice sustainability. We operate four state-of-the-art innovation centers in the United States, Italy and India. The innovative culture of SpinCo is fostered in our innovation centers, havens for development with technical performance and product testing. Food scientists and specialized engineers are readily available and dedicated to helping customers achieve operational efficiency and exceptional product quality. Select highlights of our recent innovative product developments and the range of benefits to our customers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-841375</wp:posOffset>
            </wp:positionV>
            <wp:extent cx="6998970" cy="6630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 w:right="40" w:hanging="431"/>
        <w:spacing w:after="0" w:line="267"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Nimble, Decentralized Operating Model: </w:t>
      </w:r>
      <w:r>
        <w:rPr>
          <w:rFonts w:ascii="Times New Roman" w:cs="Times New Roman" w:eastAsia="Times New Roman" w:hAnsi="Times New Roman"/>
          <w:sz w:val="18"/>
          <w:szCs w:val="18"/>
          <w:color w:val="auto"/>
        </w:rPr>
        <w:t>We empower our brands to operate in an entrepreneurial fashion and take ownership of organic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and profitability initiatives, while leveraging scaling opportunities at the SpinCo level in customer reach, supply chain and engineering and design services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340"/>
          </w:cols>
          <w:pgMar w:left="980" w:top="281" w:right="579" w:bottom="1440" w:gutter="0" w:footer="0" w:header="0"/>
        </w:sectPr>
      </w:pPr>
    </w:p>
    <w:bookmarkStart w:id="15" w:name="page16"/>
    <w:bookmarkEnd w:id="15"/>
    <w:p>
      <w:pPr>
        <w:ind w:left="1000"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areas. We believe the attractive cash returns generated from this model enable us to enhance our value proposition for customers in an evolving food processing market through strategic organic and inorganic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-307340</wp:posOffset>
            </wp:positionV>
            <wp:extent cx="6998970" cy="401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4015740"/>
                    </a:xfrm>
                    <a:prstGeom prst="rect">
                      <a:avLst/>
                    </a:prstGeom>
                    <a:noFill/>
                  </pic:spPr>
                </pic:pic>
              </a:graphicData>
            </a:graphic>
          </wp:anchor>
        </w:drawing>
      </w:r>
    </w:p>
    <w:p>
      <w:pPr>
        <w:spacing w:after="0" w:line="45" w:lineRule="exact"/>
        <w:rPr>
          <w:sz w:val="20"/>
          <w:szCs w:val="20"/>
          <w:color w:val="auto"/>
        </w:rPr>
      </w:pPr>
    </w:p>
    <w:p>
      <w:pPr>
        <w:ind w:left="980" w:right="60" w:hanging="431"/>
        <w:spacing w:after="0" w:line="277" w:lineRule="auto"/>
        <w:tabs>
          <w:tab w:leader="none" w:pos="9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M&amp;A Track Record: </w:t>
      </w:r>
      <w:r>
        <w:rPr>
          <w:rFonts w:ascii="Times New Roman" w:cs="Times New Roman" w:eastAsia="Times New Roman" w:hAnsi="Times New Roman"/>
          <w:sz w:val="17"/>
          <w:szCs w:val="17"/>
          <w:color w:val="auto"/>
        </w:rPr>
        <w:t>SpinCo’s industry-leading food processing platform has been built with our expertise in identifying, executing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integrating over 30 strategic acquisitions within SpinCo’s business representing highly complementary brands and product innovations for targeted food applications since 2005. We strive to be the acquirer of choice in part due to our global reach, entrepreneurial operating model and strong corporate culture. As a pure-play food processing company, SpinCo will no longer have to compete for corporate resources and capital to execute on inorganic growth, a benefit which we believe will drive enhanced operating and strategic performance.</w:t>
      </w:r>
    </w:p>
    <w:p>
      <w:pPr>
        <w:spacing w:after="0" w:line="73" w:lineRule="exact"/>
        <w:rPr>
          <w:rFonts w:ascii="Times New Roman" w:cs="Times New Roman" w:eastAsia="Times New Roman" w:hAnsi="Times New Roman"/>
          <w:sz w:val="17"/>
          <w:szCs w:val="17"/>
          <w:color w:val="auto"/>
        </w:rPr>
      </w:pPr>
    </w:p>
    <w:p>
      <w:pPr>
        <w:ind w:left="980" w:right="780" w:hanging="431"/>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Team and Culture: </w:t>
      </w:r>
      <w:r>
        <w:rPr>
          <w:rFonts w:ascii="Times New Roman" w:cs="Times New Roman" w:eastAsia="Times New Roman" w:hAnsi="Times New Roman"/>
          <w:sz w:val="18"/>
          <w:szCs w:val="18"/>
          <w:color w:val="auto"/>
        </w:rPr>
        <w:t>Our management team carries deep industry expertise and a commitment to fostering a culture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collaboration and integrity to drive exceptional value for our customers.</w:t>
      </w:r>
    </w:p>
    <w:p>
      <w:pPr>
        <w:spacing w:after="0" w:line="65"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Obsession with quality, which is our top priority</w:t>
      </w:r>
    </w:p>
    <w:p>
      <w:pPr>
        <w:spacing w:after="0" w:line="130"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Lean cost structure preserving margins and contributing to our competitive advantage</w:t>
      </w:r>
    </w:p>
    <w:p>
      <w:pPr>
        <w:spacing w:after="0" w:line="130"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Knowledgeable and passionate front-line managers who act as our ambassadors</w:t>
      </w:r>
    </w:p>
    <w:p>
      <w:pPr>
        <w:spacing w:after="0" w:line="130"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spirit that permeates our people and our products</w:t>
      </w:r>
    </w:p>
    <w:p>
      <w:pPr>
        <w:spacing w:after="0" w:line="130"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Entrepreneurial, brand-driven platform, with strong balance of brand identity and collaboration on customer success</w:t>
      </w:r>
    </w:p>
    <w:p>
      <w:pPr>
        <w:spacing w:after="0" w:line="130" w:lineRule="exact"/>
        <w:rPr>
          <w:rFonts w:ascii="Times New Roman" w:cs="Times New Roman" w:eastAsia="Times New Roman" w:hAnsi="Times New Roman"/>
          <w:sz w:val="18"/>
          <w:szCs w:val="18"/>
          <w:color w:val="auto"/>
        </w:rPr>
      </w:pPr>
    </w:p>
    <w:p>
      <w:pPr>
        <w:ind w:left="1420" w:hanging="317"/>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conducting business, which has led to establishment of a sticky customer base</w:t>
      </w:r>
    </w:p>
    <w:p>
      <w:pPr>
        <w:spacing w:after="0" w:line="130" w:lineRule="exact"/>
        <w:rPr>
          <w:rFonts w:ascii="Times New Roman" w:cs="Times New Roman" w:eastAsia="Times New Roman" w:hAnsi="Times New Roman"/>
          <w:sz w:val="18"/>
          <w:szCs w:val="18"/>
          <w:color w:val="auto"/>
        </w:rPr>
      </w:pPr>
    </w:p>
    <w:p>
      <w:pPr>
        <w:ind w:left="1420" w:hanging="317"/>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global footprint with locally-based teams, designed to enable us to leverage existing relationships and drive continued growth in key markets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Growth Strategies</w:t>
      </w:r>
    </w:p>
    <w:p>
      <w:pPr>
        <w:spacing w:after="0" w:line="133" w:lineRule="exact"/>
        <w:rPr>
          <w:sz w:val="20"/>
          <w:szCs w:val="20"/>
          <w:color w:val="auto"/>
        </w:rPr>
      </w:pPr>
    </w:p>
    <w:p>
      <w:pPr>
        <w:ind w:left="980" w:right="40" w:hanging="431"/>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 with Technology, Automation and Innovation: </w:t>
      </w:r>
      <w:r>
        <w:rPr>
          <w:rFonts w:ascii="Times New Roman" w:cs="Times New Roman" w:eastAsia="Times New Roman" w:hAnsi="Times New Roman"/>
          <w:sz w:val="18"/>
          <w:szCs w:val="18"/>
          <w:color w:val="auto"/>
        </w:rPr>
        <w:t>We expect food processors to increasingly demand new and innovative equipment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food quality and safety, automation, reliability, flexibility and sustainability. We strive to extend our leadership in food processing technology, leveraging our industry expertise and proven, collaborative, customer-centric operating model to be considered the most valuable partner as food processors transform their operations.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83" w:right="459" w:bottom="1440" w:gutter="0" w:footer="0" w:header="0"/>
        </w:sectPr>
      </w:pPr>
    </w:p>
    <w:bookmarkStart w:id="16" w:name="page17"/>
    <w:bookmarkEnd w:id="16"/>
    <w:p>
      <w:pPr>
        <w:ind w:left="440" w:hanging="431"/>
        <w:spacing w:after="0" w:line="257"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Drive Competitive Advantage with Total Line Solutions: </w:t>
      </w:r>
      <w:r>
        <w:rPr>
          <w:rFonts w:ascii="Times New Roman" w:cs="Times New Roman" w:eastAsia="Times New Roman" w:hAnsi="Times New Roman"/>
          <w:sz w:val="18"/>
          <w:szCs w:val="18"/>
          <w:color w:val="auto"/>
        </w:rPr>
        <w:t>The breadth of our industry-leading food processing brands, manufacturing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capabilities positions us to offer highly integrated total line solutions in further processing through end-of-line, providing customers a uniquely integrated solution, lowering their total cost of ownership and streamlining their operations relative to disparate solutions across multiple partners. From food preparation, thermal processing, slicing, packaging, automation and equipment sanitation solutions, we are able to construct valuable bundled and full line offerings for the protein and bakery markets, including the illustrative examples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-841375</wp:posOffset>
            </wp:positionV>
            <wp:extent cx="6998970" cy="3999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3999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60"/>
          </w:cols>
          <w:pgMar w:left="980" w:top="281" w:right="6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1796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179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097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609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0" w:hanging="431"/>
        <w:spacing w:after="0" w:line="257"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 Growth and Profitability from Aftermarket: </w:t>
      </w:r>
      <w:r>
        <w:rPr>
          <w:rFonts w:ascii="Times New Roman" w:cs="Times New Roman" w:eastAsia="Times New Roman" w:hAnsi="Times New Roman"/>
          <w:sz w:val="18"/>
          <w:szCs w:val="18"/>
          <w:color w:val="auto"/>
        </w:rPr>
        <w:t>Leveraging our growing, global equipment installed base, we aim to aggressively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our aftermarket parts and service revenues, maximizing this reoccurring and profitable portion of our portfolio. Our customer relationships include some that span multiple decades, and we recognize the ongoing value in sustaining performance and reducing downtime during food processing operations. We believe further localization of our parts and service platform and strategic investments in software and AI capabilities can allow us to improve speed and quality of service for our customers while expanding these profitable and reoccurring revenue sources.</w:t>
      </w:r>
    </w:p>
    <w:p>
      <w:pPr>
        <w:spacing w:after="0" w:line="13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20"/>
          </w:cols>
          <w:pgMar w:left="980" w:top="1440" w:right="499" w:bottom="1440" w:gutter="0" w:footer="0" w:header="0"/>
        </w:sectPr>
      </w:pPr>
    </w:p>
    <w:bookmarkStart w:id="19" w:name="page20"/>
    <w:bookmarkEnd w:id="19"/>
    <w:p>
      <w:pPr>
        <w:ind w:left="980" w:right="160" w:hanging="431"/>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Aligned Geographic Presence with Market Opportunity: </w:t>
      </w:r>
      <w:r>
        <w:rPr>
          <w:rFonts w:ascii="Times New Roman" w:cs="Times New Roman" w:eastAsia="Times New Roman" w:hAnsi="Times New Roman"/>
          <w:sz w:val="18"/>
          <w:szCs w:val="18"/>
          <w:color w:val="auto"/>
        </w:rPr>
        <w:t>The global food processing equipment and packaging industry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at an annual rate of 3% to 4% through 2028, in part due to tailwinds fueled by secular growth drivers including those listed below. We believe our manufacturing, sales and aftermarket reach positions us well to capitalize on these growth trends including in Asia, Latin America and the Middle East.</w:t>
      </w:r>
    </w:p>
    <w:p>
      <w:pPr>
        <w:spacing w:after="0" w:line="87" w:lineRule="exact"/>
        <w:rPr>
          <w:rFonts w:ascii="Times New Roman" w:cs="Times New Roman" w:eastAsia="Times New Roman" w:hAnsi="Times New Roman"/>
          <w:sz w:val="18"/>
          <w:szCs w:val="18"/>
          <w:color w:val="auto"/>
        </w:rPr>
      </w:pPr>
    </w:p>
    <w:p>
      <w:pPr>
        <w:ind w:left="1420" w:right="180" w:hanging="317"/>
        <w:spacing w:after="0" w:line="282"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middle class in developing economies driving purchasing power and accelerated demand for protein, bakery and snack products</w:t>
      </w:r>
    </w:p>
    <w:p>
      <w:pPr>
        <w:spacing w:after="0" w:line="67" w:lineRule="exact"/>
        <w:rPr>
          <w:rFonts w:ascii="Times New Roman" w:cs="Times New Roman" w:eastAsia="Times New Roman" w:hAnsi="Times New Roman"/>
          <w:sz w:val="18"/>
          <w:szCs w:val="18"/>
          <w:color w:val="auto"/>
        </w:rPr>
      </w:pPr>
    </w:p>
    <w:p>
      <w:pPr>
        <w:ind w:left="1420" w:right="140" w:hanging="317"/>
        <w:spacing w:after="0" w:line="282"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security initiatives are leading governments and industries to invest in domestic food processing capabilities to ensure supply chain resilience and support local manufacturing</w:t>
      </w:r>
    </w:p>
    <w:p>
      <w:pPr>
        <w:spacing w:after="0" w:line="65" w:lineRule="exact"/>
        <w:rPr>
          <w:rFonts w:ascii="Times New Roman" w:cs="Times New Roman" w:eastAsia="Times New Roman" w:hAnsi="Times New Roman"/>
          <w:sz w:val="18"/>
          <w:szCs w:val="18"/>
          <w:color w:val="auto"/>
        </w:rPr>
      </w:pPr>
    </w:p>
    <w:p>
      <w:pPr>
        <w:ind w:left="980" w:right="60" w:hanging="431"/>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M&amp;A as a Strategic Pillar: </w:t>
      </w:r>
      <w:r>
        <w:rPr>
          <w:rFonts w:ascii="Times New Roman" w:cs="Times New Roman" w:eastAsia="Times New Roman" w:hAnsi="Times New Roman"/>
          <w:sz w:val="18"/>
          <w:szCs w:val="18"/>
          <w:color w:val="auto"/>
        </w:rPr>
        <w:t>We expect our strong cash flow generation will allow us to build upon our proven track record and prioritize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M&amp;A as a key pillar of our capital allocation strategy. We maintain a robust pipeline of acquisition targets and evaluate opportunities with a focus on driving innovation, advancing our bundled and total line solutions, accessing adjacent markets, improving post-acquisition profitability and generating attractive ROI.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-1897380</wp:posOffset>
            </wp:positionV>
            <wp:extent cx="6998970" cy="6150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products include a comprehensive suite of cooking and baking solutions, including mixers, make-up lines, batch ovens, proofers, conveyor belt ovens, spiral ovens, serpentine ovens and other continuous processing ovens, frying systems and automated thermal processing systems. SpinCo also provides a comprehensive portfolio of complementary food preparation equipment such as tumblers, massagers, grinders, slicers, reduction and emulsion systems, mixers, blenders, battering equipment, breading equipment, seeding equipment, water cutting systems, food presses, food suspension equipment, filling and depositing solutions and forming equipment, as well as a variety of automated loading and unloading systems, automated washing systems, auto-guided vehicles, food safety, food handling, cooling, freezing, defrosting and packaging equipment.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food processing industry historically was highly fragmented; however, increasing competition has led to more consolidation with the emergence of large conglomerates that possess a variety of food brands. The consolidation of food processing plants associated with industry mergers and acquisitions drives a need for more flexible and efficient equipment that is capable of processing large volumes of consistent quality products in quicker cycle times. In recent years, food processors have had to conform to the demands of “big box” retailers and the restaurant industry, including, most importantly, greater product consistency and exact package weights. Food processors increasingly are partnering with equipment manufacturers like SpinCo that develop technologies offering better process control for proven product consistency, innovative packaging designs and other solutions. To protect their own brands and reputations, retailers and large restaurant chains are also dictating food safety standards that are often stricter than government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positive trends and tailwinds we have identified in the industry are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Importance on Technology and Innovation to Drive Productivity and Profitability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number of factors, including raw material prices, cost of ownership of their equipment and labor and healthcare costs, are driving food processors to focus on ways to improve their profitability. In order to increase the profitability of and efficiency in processing plants, food processors increasingly pay more attention to the performance and flexibility in the functionality of their equipment. Further, food processors are continuously looking for ways to leverage automation and other solutions to make their plants safer and reduce labor-intensive activities. Food processors are increasingly recognizing the value of new technology as an important vehicle to drive productivity and profitability in their plants. Due to customer requirements, food processors are expected to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81"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continue to demand new and innovative equipment that addresses food safety, food quality, automation, flexibility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6998970" cy="5918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Improved Living Standards in Developing Countries Leading to Increased Demand</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Improving living standards in developing countries are spurring increased worldwide demand for pre-cooked and convenience food products. As industrializing countries create more jobs, consumers in these countries will have the means to buy pre-cooked food products. In industrialized regions, such as Western Europe and the United States, consumers are demanding more pre-cooked and convenience food products, such as deli tray variety packs, frozen food products and ready-to-eat varieties of ethnic foods.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Consumer Preference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and Sentiment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number of consumer trends across the industry have begun to change preference towards more attractive and convenient food alternatives, driving demand for supporting food processing equipment. The rise in “snacking culture,” paired with consumer preferences of on-the-go snacking options, has fueled demand for advanced processing equipment in the category. The convenience and ever-growing accessibility of eCommerce as a method of reaching end-consumers aligns with the fast-paced snacking culture, further fueling demand in the category. In the cake &amp; pastry category, evolving celebration culture and growing demand for customized cakes is expected to catalyze demand for equipment.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SpinCo continues to monitor developments in the food industry related to rising consumer adoption of weight-loss treatments including Glucagon-like peptide-1 (GLP-1) products, particularly in the United States and Europe. While the expected long-term effect of such adoption is evolving, we expect a continued rise in adoption of GLP-1 products to create both disruption and opportunity for SpinCo and its food processing customers. The appetite suppression impact of GLP-1 products on its users could result in a decrease in food consumption volumes. However, we also observe changes in the types of food being consumed by GLP-1 users, including a greater focus on foods high in protein. Changes in consumer preferences, including those related to GLP-1 or otherwise, often result in food processors needing to invest in new or modified equipment and technology solutions to meet consumer demand. SpinCo believes it is well-positioned to continue partnering with its food processing customers to deliver solutions allowing them to meet evolving consumer demands.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 in Protein Sources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Change in consumer preferences is spearheading a shift from red meat products to other protein sources, such as poultry, driving increased demand in food processing equipment in the category. Red meat’s relatively higher price point versus poultry continues to prove a point of contention for customers making the change.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Emerging Growth Company Status of SpinCo</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SpinCo is an “emerging growth company” as defined in the JOBS Act. As such, SpinCo will be eligible to take advantage of certain exemptions from various reporting requirements that apply to other public companies that are not emerging growth companies, including compliance with the auditor attestation requirements of Section 404 of the Sarbanes-Oxley Act and the requirements to hold a non-binding advisory vote on executive compensation and any golden parachute payments not previously approved. We will remain an emerging growth company until the earliest of (i) the last day of the fiscal year following the fifth anniversary of our first sale of equity securities under a Securities Act registration statement, (ii) the last day of the fiscal year in which we have total annual gross revenue of at least $1.235 billion, (iii) the last day of the fiscal year on which we are deemed to be a “large accelerated filer” under the Exchange Act and (iv) the date on which we have issued more than $1 billion in non-convertible debt securities during the prior three-year period.</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83" w:right="499" w:bottom="1440" w:gutter="0" w:footer="0" w:header="0"/>
        </w:sectPr>
      </w:pPr>
    </w:p>
    <w:bookmarkStart w:id="21" w:name="page22"/>
    <w:bookmarkEnd w:id="21"/>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not made a decision whether to take advantage of any or all of these exemptions. If we do take advantage of some or all of these exemptions, some investors may find SpinCo common stock less attractive. If SpinCo common stock becomes publicly traded, the result may be a less active trading market for SpinCo common stock and our stock price may be more volatile.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-435610</wp:posOffset>
            </wp:positionV>
            <wp:extent cx="6998970" cy="6167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may take advantage of the extended transition period provided in Section 13(a) of the Exchange Act, for complying with new or revised accounting standards, meaning that we, as an emerging growth company, can delay the adoption of certain accounting standards until those standards would otherwise apply to private companies. We have elected to take advantage of this extended transition period, and therefore our financial statements may not be comparable to those of companies that comply with such new or revised accounting standards. Section 107 of the JOBS Act provides that our decision not to opt out of the extended transition period for complying with new or revised accounting standards is irrevocable.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An investment in SpinCo common stock is subject to a number of risks, including risks related to our business, risks related to the spin-off and our separation from Middleby and risks related to SpinCo common stock. Set forth below are some, but not all, of these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Business</w:t>
      </w:r>
    </w:p>
    <w:p>
      <w:pPr>
        <w:spacing w:after="0" w:line="135" w:lineRule="exact"/>
        <w:rPr>
          <w:sz w:val="20"/>
          <w:szCs w:val="20"/>
          <w:color w:val="auto"/>
        </w:rPr>
      </w:pPr>
    </w:p>
    <w:p>
      <w:pPr>
        <w:ind w:left="980" w:right="400" w:hanging="431"/>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economic conditions could materially adversely affect our business, financial condition, results of operations, cash flows and prospects;</w:t>
      </w:r>
    </w:p>
    <w:p>
      <w:pPr>
        <w:spacing w:after="0" w:line="67"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could adversely affect our business, financial condition, results of operations, cash flows and prospects;</w:t>
      </w:r>
    </w:p>
    <w:p>
      <w:pPr>
        <w:spacing w:after="0" w:line="130"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amount of goodwill and indefinite life intangibles, which could suffer losses due to asset impairment charges;</w:t>
      </w:r>
    </w:p>
    <w:p>
      <w:pPr>
        <w:spacing w:after="0" w:line="130" w:lineRule="exact"/>
        <w:rPr>
          <w:rFonts w:ascii="Times New Roman" w:cs="Times New Roman" w:eastAsia="Times New Roman" w:hAnsi="Times New Roman"/>
          <w:sz w:val="18"/>
          <w:szCs w:val="18"/>
          <w:color w:val="auto"/>
        </w:rPr>
      </w:pPr>
    </w:p>
    <w:p>
      <w:pPr>
        <w:ind w:left="980" w:right="20" w:hanging="431"/>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the food processing industry, and failure to successfully compete could impact our results of operations and cash flows;</w:t>
      </w:r>
    </w:p>
    <w:p>
      <w:pPr>
        <w:spacing w:after="0" w:line="67" w:lineRule="exact"/>
        <w:rPr>
          <w:rFonts w:ascii="Times New Roman" w:cs="Times New Roman" w:eastAsia="Times New Roman" w:hAnsi="Times New Roman"/>
          <w:sz w:val="18"/>
          <w:szCs w:val="18"/>
          <w:color w:val="auto"/>
        </w:rPr>
      </w:pPr>
    </w:p>
    <w:p>
      <w:pPr>
        <w:ind w:left="980" w:right="540" w:hanging="431"/>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developing products and technologies, which could delay product introductions and result in significant expenditures;</w:t>
      </w:r>
    </w:p>
    <w:p>
      <w:pPr>
        <w:spacing w:after="0" w:line="67"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in some materials and disruptions in supply could affect our profitability;</w:t>
      </w:r>
    </w:p>
    <w:p>
      <w:pPr>
        <w:spacing w:after="0" w:line="130" w:lineRule="exact"/>
        <w:rPr>
          <w:rFonts w:ascii="Times New Roman" w:cs="Times New Roman" w:eastAsia="Times New Roman" w:hAnsi="Times New Roman"/>
          <w:sz w:val="18"/>
          <w:szCs w:val="18"/>
          <w:color w:val="auto"/>
        </w:rPr>
      </w:pPr>
    </w:p>
    <w:p>
      <w:pPr>
        <w:ind w:left="980" w:right="320" w:hanging="431"/>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the subject of product liability claims or product recalls, and we may be unable to obtain or maintain insurance adequate to cover potential liabilities;</w:t>
      </w:r>
    </w:p>
    <w:p>
      <w:pPr>
        <w:spacing w:after="0" w:line="67"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warranty expenses could adversely affect our financial performance;</w:t>
      </w:r>
    </w:p>
    <w:p>
      <w:pPr>
        <w:spacing w:after="0" w:line="130"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is subject to significant fluctuations;</w:t>
      </w:r>
    </w:p>
    <w:p>
      <w:pPr>
        <w:spacing w:after="0" w:line="130" w:lineRule="exact"/>
        <w:rPr>
          <w:rFonts w:ascii="Times New Roman" w:cs="Times New Roman" w:eastAsia="Times New Roman" w:hAnsi="Times New Roman"/>
          <w:sz w:val="18"/>
          <w:szCs w:val="18"/>
          <w:color w:val="auto"/>
        </w:rPr>
      </w:pPr>
    </w:p>
    <w:p>
      <w:pPr>
        <w:ind w:left="980" w:right="280" w:hanging="431"/>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investment and alliance strategy involves risks. If we are unable to effectively manage these risks, our business will be materially harmed;</w:t>
      </w:r>
    </w:p>
    <w:p>
      <w:pPr>
        <w:spacing w:after="0" w:line="67"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identify or complete future acquisitions could adversely affect future growth;</w:t>
      </w:r>
    </w:p>
    <w:p>
      <w:pPr>
        <w:spacing w:after="0" w:line="130" w:lineRule="exact"/>
        <w:rPr>
          <w:rFonts w:ascii="Times New Roman" w:cs="Times New Roman" w:eastAsia="Times New Roman" w:hAnsi="Times New Roman"/>
          <w:sz w:val="18"/>
          <w:szCs w:val="18"/>
          <w:color w:val="auto"/>
        </w:rPr>
      </w:pPr>
    </w:p>
    <w:p>
      <w:pPr>
        <w:ind w:left="980" w:hanging="431"/>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international operations involves special challenges that we may not be able to meet. Our failure to meet these challenges could adversely affect our business, financial condition, results of operations, cash flows and prospects;</w:t>
      </w:r>
    </w:p>
    <w:p>
      <w:pPr>
        <w:spacing w:after="0" w:line="67"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transactions on SpinCo common stock is uncertain;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83" w:right="459" w:bottom="1440" w:gutter="0" w:footer="0" w:header="0"/>
        </w:sectPr>
      </w:pPr>
    </w:p>
    <w:bookmarkStart w:id="22" w:name="page23"/>
    <w:bookmarkEnd w:id="22"/>
    <w:p>
      <w:pPr>
        <w:ind w:left="980" w:right="280" w:hanging="431"/>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may not be able to adequately protect our intellectual property rights, which may materially harm our business, financial condition, results of operations, cash flows and prospects;</w:t>
      </w:r>
    </w:p>
    <w:p>
      <w:pPr>
        <w:spacing w:after="0" w:line="67" w:lineRule="exact"/>
        <w:rPr>
          <w:rFonts w:ascii="Times New Roman" w:cs="Times New Roman" w:eastAsia="Times New Roman" w:hAnsi="Times New Roman"/>
          <w:sz w:val="18"/>
          <w:szCs w:val="18"/>
          <w:color w:val="auto"/>
        </w:rPr>
      </w:pPr>
    </w:p>
    <w:p>
      <w:pPr>
        <w:ind w:left="980" w:right="120" w:hanging="431"/>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information technology system failures, network disruptions, cybersecurity attacks and breaches in data security, which may materially adversely affect our operations, financial condition and operating results;</w:t>
      </w:r>
    </w:p>
    <w:p>
      <w:pPr>
        <w:spacing w:after="0" w:line="67"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tax and other legal compliance risks;</w:t>
      </w:r>
    </w:p>
    <w:p>
      <w:pPr>
        <w:spacing w:after="0" w:line="130"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potential liability under environmental laws; and</w:t>
      </w:r>
    </w:p>
    <w:p>
      <w:pPr>
        <w:spacing w:after="0" w:line="130"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law changes and tax authority rulings may adversely affect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-1261110</wp:posOffset>
            </wp:positionV>
            <wp:extent cx="6998970" cy="6253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Spin-Off</w:t>
      </w:r>
    </w:p>
    <w:p>
      <w:pPr>
        <w:spacing w:after="0" w:line="135" w:lineRule="exact"/>
        <w:rPr>
          <w:sz w:val="20"/>
          <w:szCs w:val="20"/>
          <w:color w:val="auto"/>
        </w:rPr>
      </w:pPr>
    </w:p>
    <w:p>
      <w:pPr>
        <w:ind w:left="980" w:right="360" w:hanging="431"/>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some or all of the expected benefits of the spin-off, and the spin-off may adversely impact our business, financial condition, results of operations, cash flows and prospects;</w:t>
      </w:r>
    </w:p>
    <w:p>
      <w:pPr>
        <w:spacing w:after="0" w:line="67" w:lineRule="exact"/>
        <w:rPr>
          <w:rFonts w:ascii="Times New Roman" w:cs="Times New Roman" w:eastAsia="Times New Roman" w:hAnsi="Times New Roman"/>
          <w:sz w:val="18"/>
          <w:szCs w:val="18"/>
          <w:color w:val="auto"/>
        </w:rPr>
      </w:pPr>
    </w:p>
    <w:p>
      <w:pPr>
        <w:jc w:val="both"/>
        <w:ind w:left="980" w:right="500" w:hanging="431"/>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w:t>
      </w:r>
    </w:p>
    <w:p>
      <w:pPr>
        <w:spacing w:after="0" w:line="81" w:lineRule="exact"/>
        <w:rPr>
          <w:rFonts w:ascii="Times New Roman" w:cs="Times New Roman" w:eastAsia="Times New Roman" w:hAnsi="Times New Roman"/>
          <w:sz w:val="18"/>
          <w:szCs w:val="18"/>
          <w:color w:val="auto"/>
        </w:rPr>
      </w:pPr>
    </w:p>
    <w:p>
      <w:pPr>
        <w:ind w:left="980" w:right="60" w:hanging="431"/>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spin-off, Middleby will indemnify us for certain liabilities. However, there can be no assurance that the indemnity will be sufficient to protect us against the full amount of such liabilities, or that Middleby’s ability to satisfy its indemnification obligation will not be impaired in the future;</w:t>
      </w:r>
    </w:p>
    <w:p>
      <w:pPr>
        <w:spacing w:after="0" w:line="81" w:lineRule="exact"/>
        <w:rPr>
          <w:rFonts w:ascii="Times New Roman" w:cs="Times New Roman" w:eastAsia="Times New Roman" w:hAnsi="Times New Roman"/>
          <w:sz w:val="18"/>
          <w:szCs w:val="18"/>
          <w:color w:val="auto"/>
        </w:rPr>
      </w:pPr>
    </w:p>
    <w:p>
      <w:pPr>
        <w:ind w:left="980" w:right="20" w:hanging="431"/>
        <w:spacing w:after="0" w:line="312"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our separation, we will assume, and indemnify Middleby for, certain liabilities. If we are required to make payments pursuant to these indemnities to Middleby, we would need to meet those obligations and our financial results could be adversely impacted;</w:t>
      </w:r>
    </w:p>
    <w:p>
      <w:pPr>
        <w:spacing w:after="0" w:line="45" w:lineRule="exact"/>
        <w:rPr>
          <w:rFonts w:ascii="Times New Roman" w:cs="Times New Roman" w:eastAsia="Times New Roman" w:hAnsi="Times New Roman"/>
          <w:sz w:val="17"/>
          <w:szCs w:val="17"/>
          <w:color w:val="auto"/>
        </w:rPr>
      </w:pPr>
    </w:p>
    <w:p>
      <w:pPr>
        <w:ind w:left="980" w:right="80" w:hanging="431"/>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determination that the distribution of shares of SpinCo common stock or certain related transactions are taxable for U.S. federal income tax purposes, Middleby and its stockholders could incur significant tax liabilities, and we could incur significant liabilities pursuant to our indemnification obligations under the tax matters agreement;</w:t>
      </w:r>
    </w:p>
    <w:p>
      <w:pPr>
        <w:spacing w:after="0" w:line="81" w:lineRule="exact"/>
        <w:rPr>
          <w:rFonts w:ascii="Times New Roman" w:cs="Times New Roman" w:eastAsia="Times New Roman" w:hAnsi="Times New Roman"/>
          <w:sz w:val="18"/>
          <w:szCs w:val="18"/>
          <w:color w:val="auto"/>
        </w:rPr>
      </w:pPr>
    </w:p>
    <w:p>
      <w:pPr>
        <w:ind w:left="980" w:right="380" w:hanging="431"/>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significant restrictions under the tax matters agreement, including on our ability to engage in certain corporate transactions for a two-year period after the distribution, in order to avoid triggering significant tax-related liabilities;</w:t>
      </w:r>
    </w:p>
    <w:p>
      <w:pPr>
        <w:spacing w:after="0" w:line="67" w:lineRule="exact"/>
        <w:rPr>
          <w:rFonts w:ascii="Times New Roman" w:cs="Times New Roman" w:eastAsia="Times New Roman" w:hAnsi="Times New Roman"/>
          <w:sz w:val="18"/>
          <w:szCs w:val="18"/>
          <w:color w:val="auto"/>
        </w:rPr>
      </w:pPr>
    </w:p>
    <w:p>
      <w:pPr>
        <w:ind w:left="980" w:right="120" w:hanging="431"/>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and related internal restructuring transactions may expose us to potential liabilities arising out of state and federal fraudulent conveyance laws and legal dividend requirements; and</w:t>
      </w:r>
    </w:p>
    <w:p>
      <w:pPr>
        <w:spacing w:after="0" w:line="67" w:lineRule="exact"/>
        <w:rPr>
          <w:rFonts w:ascii="Times New Roman" w:cs="Times New Roman" w:eastAsia="Times New Roman" w:hAnsi="Times New Roman"/>
          <w:sz w:val="18"/>
          <w:szCs w:val="18"/>
          <w:color w:val="auto"/>
        </w:rPr>
      </w:pPr>
    </w:p>
    <w:p>
      <w:pPr>
        <w:ind w:left="980" w:right="300" w:hanging="431"/>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spin-off, the value of your common stock in Middleby and SpinCo may collectively trade at an aggregate price less than what Middleby common stock might have traded at had the spin-off not occurred.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SpinCo Common Stock</w:t>
      </w:r>
    </w:p>
    <w:p>
      <w:pPr>
        <w:spacing w:after="0" w:line="135" w:lineRule="exact"/>
        <w:rPr>
          <w:sz w:val="20"/>
          <w:szCs w:val="20"/>
          <w:color w:val="auto"/>
        </w:rPr>
      </w:pPr>
    </w:p>
    <w:p>
      <w:pPr>
        <w:ind w:left="980" w:hanging="431"/>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an active trading market for SpinCo common stock will develop or be sustained after the spin-off, and, following the spin-off, our stock price may fluctuate significantly;</w:t>
      </w:r>
    </w:p>
    <w:p>
      <w:pPr>
        <w:spacing w:after="0" w:line="67" w:lineRule="exact"/>
        <w:rPr>
          <w:rFonts w:ascii="Times New Roman" w:cs="Times New Roman" w:eastAsia="Times New Roman" w:hAnsi="Times New Roman"/>
          <w:sz w:val="18"/>
          <w:szCs w:val="18"/>
          <w:color w:val="auto"/>
        </w:rPr>
      </w:pPr>
    </w:p>
    <w:p>
      <w:pPr>
        <w:ind w:left="980" w:right="40" w:hanging="431"/>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of substantial amounts of shares of SpinCo common stock in the public market, or the perception that such sales might occur, in connection with the distribution or otherwise, may cause the market price of SpinCo common stock to decline;</w:t>
      </w:r>
    </w:p>
    <w:p>
      <w:pPr>
        <w:spacing w:after="0" w:line="67" w:lineRule="exact"/>
        <w:rPr>
          <w:rFonts w:ascii="Times New Roman" w:cs="Times New Roman" w:eastAsia="Times New Roman" w:hAnsi="Times New Roman"/>
          <w:sz w:val="18"/>
          <w:szCs w:val="18"/>
          <w:color w:val="auto"/>
        </w:rPr>
      </w:pPr>
    </w:p>
    <w:p>
      <w:pPr>
        <w:ind w:left="980" w:right="440" w:hanging="431"/>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our amended and restated certificate of incorporation, our amended and restated bylaws and Delaware law may prevent or delay an acquisition of our company, which could decrease the market price of SpinCo common stock;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83" w:right="479" w:bottom="1440" w:gutter="0" w:footer="0" w:header="0"/>
        </w:sectPr>
      </w:pPr>
    </w:p>
    <w:bookmarkStart w:id="23" w:name="page24"/>
    <w:bookmarkEnd w:id="23"/>
    <w:p>
      <w:pPr>
        <w:ind w:left="980" w:hanging="431"/>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price of Middleby common stock historically has been volatile, and the price of SpinCo common stock may be volatile as well. This volatility may affect the price at which you could sell SpinCo common stock, and the sale of substantial amounts of SpinCo common stock could adversely affect the price of SpinCo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-435610</wp:posOffset>
            </wp:positionV>
            <wp:extent cx="6998970" cy="843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843915"/>
                    </a:xfrm>
                    <a:prstGeom prst="rect">
                      <a:avLst/>
                    </a:prstGeom>
                    <a:noFill/>
                  </pic:spPr>
                </pic:pic>
              </a:graphicData>
            </a:graphic>
          </wp:anchor>
        </w:drawing>
      </w:r>
    </w:p>
    <w:p>
      <w:pPr>
        <w:spacing w:after="0" w:line="15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These and other risks relating to our business, the spin-off and SpinCo common stock are discussed in greater detail under the section of this information statement entitled “Risk Factors.” You should read and consider all of these risks carefully.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83" w:right="479" w:bottom="1440" w:gutter="0" w:footer="0" w:header="0"/>
        </w:sectPr>
      </w:pPr>
    </w:p>
    <w:bookmarkStart w:id="24" w:name="page25"/>
    <w:bookmarkEnd w:id="2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SUMMARY OF THE SEPARATION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998970" cy="5233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20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provides a summary of the terms of the separation and distribution. For a more detailed description of the matters described below, see the section of this information statement entitled “The Separation and Distribution.”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Distributing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Middleby Corporation is a Delaware corporation. Following the spin-off, Middleby will not own any shares of SpinCo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Distributed Company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Midera Food Processing, Inc. is a Delaware corporation and, prior to the spin-off, a wholly owned subsidiary of Middleby. Middleby formed SpinCo as a corporation in Delaware on July 17, 2025, for the purpose of effectuating the spin-off. SpinCo has engaged in no business activities to date and it has no material assets or liabilities of any kind, other than those incident to its formation and those incurred in connection with the spin-off. Pursuant to a reorganization, prior to the spin-off, we will receive the legal entities containing the Food Processing business of Middleby and its subsidiaries. After completion of the separation and distribution, we will be an independent, publicly traded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Ratio</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Each Middleby stockholder will receive one share of SpinCo common stock for every one share of Middleby common stock held of record by such Middleby stockholder as of 4:00 p.m. Central Time on June 26, 2026, the record date for the distribution (the “distribution ratio”). Please note that if you sell your shares of Middleby common stock on or before the distribution date, then the buyer of those shares may, in certain circumstances, be entitled to receive the shares of SpinCo common stock distributed on the distribution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Distributed Securities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Middleby will distribute all of the shares of SpinCo common stock owned by Middleby, which will be 100% of SpinCo common stock outstanding immediately prior to the distribution. Based on the 45,214,588 shares of Middleby common stock outstanding on May 21, 2026, and applying the distribution ratio of one share of SpinCo common stock for every one share of Middleby common stock, Middleby will distribute 45,214,588 shares of SpinCo common stock to Middleby stockholders who hold Middleby common stock as of the record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the distribution is expected to be 4:00 p.m. Central Time on June 26, 2026 (the “record date for the distribution”).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date is expected to be on or about July 6, 2026.</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40" w:top="279"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998970" cy="6073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10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the distribution date, Middleby, with the assistance of Computershare Trust Company, N.A. (“Computershare”), the distribution agent, will electronically distribute shares of SpinCo common stock to your bank or brokerage firm on your behalf or through the systems of The Depository Trust Company (“DTC”) (if you hold your shares of Middleby common stock through a bank or brokerage firm that uses DTC) or to you in book-entry form (if you hold your shares of Middleby common stock in book-entry form). You will not be required to make any payment or surrender or exchange your shares of Middleby common stock or take any other action to receive your shares of SpinCo on the distribution date. Your bank or brokerage firm will credit your account for the shares of SpinCo common stock or the distribution agent or the transfer agent will mail you a book-entry account statement that reflects your shares of SpinCo. Please note that if you sell your shares of Middleby common stock on or before the distribution date, then the buyer of those shares may, in certain circumstances, be entitled to receive the shares of SpinCo common stock distributed on the distribution date. For more information, see the section of this information statement entitled “The Separation and Distribution—Trading Between the Record Date and the Distribution Date.”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agent, transfer agent and registrar for SpinCo common stock will be Computershare.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Spin-Off</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Middleby has made significant strides in creating a leading Commercial Foodservice business while continuing to strengthen and grow the Food Processing business. To enhance the growth of each of these businesses, the Middleby Board approved a plan to separate Middleby and SpinCo into two independent, publicly traded companies. The spin-off will create two strong, stand-alone businesses, which will have leading positions in the markets they serve and will be better positioned to deliver long-term growth and sustainable value creation for Middleby and SpinCo:</w:t>
      </w:r>
    </w:p>
    <w:p>
      <w:pPr>
        <w:spacing w:after="0" w:line="85" w:lineRule="exact"/>
        <w:rPr>
          <w:sz w:val="20"/>
          <w:szCs w:val="20"/>
          <w:color w:val="auto"/>
        </w:rPr>
      </w:pPr>
    </w:p>
    <w:p>
      <w:pPr>
        <w:ind w:left="980" w:hanging="431"/>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focus on the remaining Commercial Foodservice business; and</w:t>
      </w:r>
    </w:p>
    <w:p>
      <w:pPr>
        <w:spacing w:after="0" w:line="130"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will hold the Food Processing business.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Middleby Board believes that separating the Food Processing business from the remainder of Middleby and distributing shares of SpinCo common stock to Middleby stockholders will create value for Middleby and SpinCo through the following benefits:</w:t>
      </w:r>
    </w:p>
    <w:p>
      <w:pPr>
        <w:spacing w:after="0" w:line="67" w:lineRule="exact"/>
        <w:rPr>
          <w:sz w:val="20"/>
          <w:szCs w:val="20"/>
          <w:color w:val="auto"/>
        </w:rPr>
      </w:pPr>
    </w:p>
    <w:p>
      <w:pPr>
        <w:ind w:left="980" w:right="120" w:hanging="431"/>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chapter of growth for highly successful but inherently different businesses that will benefit from a renewed focus on individual core strategies, driving a full valuation in line with best-in-class peers for each of Middleby and SpinCo.</w:t>
      </w:r>
    </w:p>
    <w:p>
      <w:pPr>
        <w:spacing w:after="0" w:line="67"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market-leading businesses, recognized as technology-driven product innovators in their respective industries.</w:t>
      </w:r>
    </w:p>
    <w:p>
      <w:pPr>
        <w:spacing w:after="0" w:line="130"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the Food Processing business to be valued in-line with key food processing peers.</w:t>
      </w:r>
    </w:p>
    <w:p>
      <w:pPr>
        <w:spacing w:after="0" w:line="130" w:lineRule="exact"/>
        <w:rPr>
          <w:rFonts w:ascii="Times New Roman" w:cs="Times New Roman" w:eastAsia="Times New Roman" w:hAnsi="Times New Roman"/>
          <w:sz w:val="18"/>
          <w:szCs w:val="18"/>
          <w:color w:val="auto"/>
        </w:rPr>
      </w:pPr>
    </w:p>
    <w:p>
      <w:pPr>
        <w:ind w:left="980" w:right="120" w:hanging="431"/>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each of Middleby and SpinCo to implement an optimized capital structure and capital allocation policy, best supporting growth opportunities for their respective businesses.</w:t>
      </w:r>
    </w:p>
    <w:p>
      <w:pPr>
        <w:spacing w:after="0" w:line="67"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financial flexibility to pursue optimal growth strategies throughout investment cycles.</w:t>
      </w:r>
    </w:p>
    <w:p>
      <w:pPr>
        <w:spacing w:after="0" w:line="130"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financial and strategic impact of M&amp;A for each business.</w:t>
      </w:r>
    </w:p>
    <w:p>
      <w:pPr>
        <w:spacing w:after="0" w:line="130" w:lineRule="exact"/>
        <w:rPr>
          <w:rFonts w:ascii="Times New Roman" w:cs="Times New Roman" w:eastAsia="Times New Roman" w:hAnsi="Times New Roman"/>
          <w:sz w:val="18"/>
          <w:szCs w:val="18"/>
          <w:color w:val="auto"/>
        </w:rPr>
      </w:pPr>
    </w:p>
    <w:p>
      <w:pPr>
        <w:ind w:left="980" w:right="220" w:hanging="431"/>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greater exposure to and deeper understanding of each of Middleby’s and SpinCo’s standalone growth story, business strategies and performance, aligned with respective macroeconomic trends.</w:t>
      </w:r>
    </w:p>
    <w:p>
      <w:pPr>
        <w:spacing w:after="0" w:line="67"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boards of directors and management teams with deep domain expertise.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9"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Middleby Board also considered potentially negative factors in evaluating the spin-off,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6998970" cy="5181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181600"/>
                    </a:xfrm>
                    <a:prstGeom prst="rect">
                      <a:avLst/>
                    </a:prstGeom>
                    <a:noFill/>
                  </pic:spPr>
                </pic:pic>
              </a:graphicData>
            </a:graphic>
          </wp:anchor>
        </w:drawing>
      </w:r>
    </w:p>
    <w:p>
      <w:pPr>
        <w:spacing w:after="0" w:line="111" w:lineRule="exact"/>
        <w:rPr>
          <w:sz w:val="20"/>
          <w:szCs w:val="20"/>
          <w:color w:val="auto"/>
        </w:rPr>
      </w:pPr>
    </w:p>
    <w:p>
      <w:pPr>
        <w:ind w:left="980" w:hanging="431"/>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increased aggregate ongoing administrative costs for the two companies operating on a stand-alone basis post-spin-off.</w:t>
      </w:r>
    </w:p>
    <w:p>
      <w:pPr>
        <w:spacing w:after="0" w:line="130" w:lineRule="exact"/>
        <w:rPr>
          <w:rFonts w:ascii="Times New Roman" w:cs="Times New Roman" w:eastAsia="Times New Roman" w:hAnsi="Times New Roman"/>
          <w:sz w:val="18"/>
          <w:szCs w:val="18"/>
          <w:color w:val="auto"/>
        </w:rPr>
      </w:pPr>
    </w:p>
    <w:p>
      <w:pPr>
        <w:ind w:left="980" w:right="80" w:hanging="431"/>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and Middleby currently take advantage of pre-spin-off Middleby’s size and purchasing power in procuring certain goods and services. After the spin-off, as standalone companies, SpinCo and/or Middleby may be unable to obtain these goods and services at prices or on terms as favorable as those currently obtained by pre-spin-off Middleby.</w:t>
      </w:r>
    </w:p>
    <w:p>
      <w:pPr>
        <w:spacing w:after="0" w:line="81" w:lineRule="exact"/>
        <w:rPr>
          <w:rFonts w:ascii="Times New Roman" w:cs="Times New Roman" w:eastAsia="Times New Roman" w:hAnsi="Times New Roman"/>
          <w:sz w:val="18"/>
          <w:szCs w:val="18"/>
          <w:color w:val="auto"/>
        </w:rPr>
      </w:pPr>
    </w:p>
    <w:p>
      <w:pPr>
        <w:jc w:val="both"/>
        <w:ind w:left="980" w:right="140" w:hanging="431"/>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costs we expect to incur related to the spin-off and in connection with the transition to becoming a stand-alone public company that are likely to include, among others, professional services costs, tax expense, recruiting and other costs associated with hiring for two stand-alone corporate structures and costs to separate IT systems and create two separate stand-alone IT structures.</w:t>
      </w:r>
    </w:p>
    <w:p>
      <w:pPr>
        <w:spacing w:after="0" w:line="81" w:lineRule="exact"/>
        <w:rPr>
          <w:rFonts w:ascii="Times New Roman" w:cs="Times New Roman" w:eastAsia="Times New Roman" w:hAnsi="Times New Roman"/>
          <w:sz w:val="18"/>
          <w:szCs w:val="18"/>
          <w:color w:val="auto"/>
        </w:rPr>
      </w:pPr>
    </w:p>
    <w:p>
      <w:pPr>
        <w:ind w:left="980" w:right="220" w:hanging="431"/>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execution risks related to the spin-off, including disruption to the business as a result of the spin-off and the possibility that SpinCo and/or Middleby do not achieve the expected benefits of the spin-off for a variety of reasons.</w:t>
      </w:r>
    </w:p>
    <w:p>
      <w:pPr>
        <w:spacing w:after="0" w:line="67" w:lineRule="exact"/>
        <w:rPr>
          <w:rFonts w:ascii="Times New Roman" w:cs="Times New Roman" w:eastAsia="Times New Roman" w:hAnsi="Times New Roman"/>
          <w:sz w:val="18"/>
          <w:szCs w:val="18"/>
          <w:color w:val="auto"/>
        </w:rPr>
      </w:pPr>
    </w:p>
    <w:p>
      <w:pPr>
        <w:ind w:left="980" w:right="800" w:hanging="431"/>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may divert management’s time and attention, which could have a material adverse effect on the business, results of operations, financial condition and cash flows of SpinCo and/or Middleby.</w:t>
      </w:r>
    </w:p>
    <w:p>
      <w:pPr>
        <w:spacing w:after="0" w:line="67" w:lineRule="exact"/>
        <w:rPr>
          <w:rFonts w:ascii="Times New Roman" w:cs="Times New Roman" w:eastAsia="Times New Roman" w:hAnsi="Times New Roman"/>
          <w:sz w:val="18"/>
          <w:szCs w:val="18"/>
          <w:color w:val="auto"/>
        </w:rPr>
      </w:pPr>
    </w:p>
    <w:p>
      <w:pPr>
        <w:ind w:left="980" w:hanging="431"/>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spin-off, SpinCo and/or Middleby may be more susceptible to market fluctuations and other events particular to one or more of their products than they currently are as pre-spin-off Middleby.</w:t>
      </w:r>
    </w:p>
    <w:p>
      <w:pPr>
        <w:spacing w:after="0" w:line="67" w:lineRule="exact"/>
        <w:rPr>
          <w:rFonts w:ascii="Times New Roman" w:cs="Times New Roman" w:eastAsia="Times New Roman" w:hAnsi="Times New Roman"/>
          <w:sz w:val="18"/>
          <w:szCs w:val="18"/>
          <w:color w:val="auto"/>
        </w:rPr>
      </w:pPr>
    </w:p>
    <w:p>
      <w:pPr>
        <w:ind w:left="980" w:right="420" w:hanging="431"/>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reduced business diversification, with each post-spin-off company operating in fewer industries, could increase the volatility of earnings and cash flow.</w:t>
      </w:r>
    </w:p>
    <w:p>
      <w:pPr>
        <w:spacing w:after="0" w:line="67" w:lineRule="exact"/>
        <w:rPr>
          <w:rFonts w:ascii="Times New Roman" w:cs="Times New Roman" w:eastAsia="Times New Roman" w:hAnsi="Times New Roman"/>
          <w:sz w:val="18"/>
          <w:szCs w:val="18"/>
          <w:color w:val="auto"/>
        </w:rPr>
      </w:pPr>
    </w:p>
    <w:p>
      <w:pPr>
        <w:ind w:left="980" w:right="320" w:hanging="431"/>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liabilities that were otherwise less significant to pre-spin-off Middleby could be more significant to Middleby and/or SpinCo after the spin-off as smaller, stand-alone companies.</w:t>
      </w:r>
    </w:p>
    <w:p>
      <w:pPr>
        <w:spacing w:after="0" w:line="67" w:lineRule="exact"/>
        <w:rPr>
          <w:rFonts w:ascii="Times New Roman" w:cs="Times New Roman" w:eastAsia="Times New Roman" w:hAnsi="Times New Roman"/>
          <w:sz w:val="18"/>
          <w:szCs w:val="18"/>
          <w:color w:val="auto"/>
        </w:rPr>
      </w:pPr>
    </w:p>
    <w:p>
      <w:pPr>
        <w:ind w:left="980" w:right="900" w:hanging="431"/>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common stock and SpinCo common stock could experience selling pressure after the spin-off as certain pre-spin-off stockholders may not be interested in holding an investment in one of the two post-spin-off companies.</w:t>
      </w:r>
    </w:p>
    <w:p>
      <w:pPr>
        <w:spacing w:after="0" w:line="67" w:lineRule="exact"/>
        <w:rPr>
          <w:rFonts w:ascii="Times New Roman" w:cs="Times New Roman" w:eastAsia="Times New Roman" w:hAnsi="Times New Roman"/>
          <w:sz w:val="18"/>
          <w:szCs w:val="18"/>
          <w:color w:val="auto"/>
        </w:rPr>
      </w:pPr>
    </w:p>
    <w:p>
      <w:pPr>
        <w:ind w:left="980" w:right="120" w:hanging="431"/>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stockholders who have an investment strategy of tracking an index fund may sell the shares of SpinCo common stock that they receive in the distribution if SpinCo is not listed on the same index. As a result, the price of SpinCo common stock may decline or experience volatility as SpinCo’s stockholder base changes.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Middleby Board concluded that the potential benefits of the spin-off outweighed these factors and risks. The Middleby Board also considered these potential benefits and potentially negative factors in light of the risk that the spin-off is abandoned or otherwise not completed, resulting in Middleby not separating into two independent, publicly traded companies.</w:t>
      </w:r>
    </w:p>
    <w:p>
      <w:pPr>
        <w:spacing w:after="0" w:line="17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anticipated benefits of the spin-off are based on a number of assumptions, and there can be no assurance that such benefits will materialize to the extent anticipated, or at all. In the event the spin-off does not result in such benefits, the costs associated with the spin-off could have an adverse effect on each company individually and in the aggregate. For more information, see the sections of this information statement entitled “The Separation and Distribution—General—Reasons for the Spin-Off” and “Risk Factors.”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83"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998970" cy="56788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SpinCo common stock by Middleby is subject to the satisfaction or waiver of the following conditions, among others:</w:t>
      </w:r>
    </w:p>
    <w:p>
      <w:pPr>
        <w:spacing w:after="0" w:line="131" w:lineRule="exact"/>
        <w:rPr>
          <w:sz w:val="20"/>
          <w:szCs w:val="20"/>
          <w:color w:val="auto"/>
        </w:rPr>
      </w:pPr>
    </w:p>
    <w:p>
      <w:pPr>
        <w:ind w:left="980" w:right="380" w:hanging="431"/>
        <w:spacing w:after="0" w:line="312" w:lineRule="auto"/>
        <w:tabs>
          <w:tab w:leader="none" w:pos="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 will have declared effective the registration statement of which this information statement forms a part, with no stop order relating to the registration statement in effect, and no proceedings for such purpose will be pending before, or threatened by, the SEC.</w:t>
      </w:r>
    </w:p>
    <w:p>
      <w:pPr>
        <w:spacing w:after="0" w:line="45" w:lineRule="exact"/>
        <w:rPr>
          <w:rFonts w:ascii="Times New Roman" w:cs="Times New Roman" w:eastAsia="Times New Roman" w:hAnsi="Times New Roman"/>
          <w:sz w:val="17"/>
          <w:szCs w:val="17"/>
          <w:color w:val="auto"/>
        </w:rPr>
      </w:pPr>
    </w:p>
    <w:p>
      <w:pPr>
        <w:ind w:left="980" w:hanging="431"/>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will have approved the listing of SpinCo common stock, subject to official notice of issuance.</w:t>
      </w:r>
    </w:p>
    <w:p>
      <w:pPr>
        <w:spacing w:after="0" w:line="130" w:lineRule="exact"/>
        <w:rPr>
          <w:rFonts w:ascii="Times New Roman" w:cs="Times New Roman" w:eastAsia="Times New Roman" w:hAnsi="Times New Roman"/>
          <w:sz w:val="18"/>
          <w:szCs w:val="18"/>
          <w:color w:val="auto"/>
        </w:rPr>
      </w:pPr>
    </w:p>
    <w:p>
      <w:pPr>
        <w:ind w:left="980" w:right="160" w:hanging="431"/>
        <w:spacing w:after="0" w:line="258"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have received a tax opinion (the “Tax Opinion”) of Skadden, Arps, Slate, Meagher &amp; Flom LLP (“Skadden”), tax counsel to Middleby, substantially to the effect that, among other things, the distribution will qualify as tax-free to Middleby and its stockholders for U.S. federal income tax purposes under Section 355 of the Internal Revenue Code of 1986, as amended (the “Code,” and such treatment, the “Intended Tax Treatment”). See the section of this information statement entitled “Material U.S. Federal Income Tax Consequences of the Distribution.”</w:t>
      </w:r>
    </w:p>
    <w:p>
      <w:pPr>
        <w:spacing w:after="0" w:line="88" w:lineRule="exact"/>
        <w:rPr>
          <w:rFonts w:ascii="Times New Roman" w:cs="Times New Roman" w:eastAsia="Times New Roman" w:hAnsi="Times New Roman"/>
          <w:sz w:val="18"/>
          <w:szCs w:val="18"/>
          <w:color w:val="auto"/>
        </w:rPr>
      </w:pPr>
    </w:p>
    <w:p>
      <w:pPr>
        <w:ind w:left="980" w:right="760" w:hanging="431"/>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filings necessary or appropriate under applicable securities laws or “blue sky” laws and the rules and regulations thereunder will have been taken.</w:t>
      </w:r>
    </w:p>
    <w:p>
      <w:pPr>
        <w:spacing w:after="0" w:line="67" w:lineRule="exact"/>
        <w:rPr>
          <w:rFonts w:ascii="Times New Roman" w:cs="Times New Roman" w:eastAsia="Times New Roman" w:hAnsi="Times New Roman"/>
          <w:sz w:val="18"/>
          <w:szCs w:val="18"/>
          <w:color w:val="auto"/>
        </w:rPr>
      </w:pPr>
    </w:p>
    <w:p>
      <w:pPr>
        <w:jc w:val="both"/>
        <w:ind w:left="980" w:right="20" w:hanging="431"/>
        <w:spacing w:after="0" w:line="266"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preliminary or permanent injunction or other order, decree or ruling issued by a governmental authority, and no statute, rule, regulation or executive order promulgated or enacted by any governmental authority, shall be in effect preventing the consummation of, or materially limiting the benefits of, the transactions contemplated by the separation and distribution agreement.</w:t>
      </w:r>
    </w:p>
    <w:p>
      <w:pPr>
        <w:spacing w:after="0" w:line="81" w:lineRule="exact"/>
        <w:rPr>
          <w:rFonts w:ascii="Times New Roman" w:cs="Times New Roman" w:eastAsia="Times New Roman" w:hAnsi="Times New Roman"/>
          <w:sz w:val="18"/>
          <w:szCs w:val="18"/>
          <w:color w:val="auto"/>
        </w:rPr>
      </w:pPr>
    </w:p>
    <w:p>
      <w:pPr>
        <w:ind w:left="980" w:right="300" w:hanging="431"/>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reorganization transactions with respect to the Commercial Foodservice business and Food Processing business to be completed prior to the distribution will have been effectuated in all material respects.</w:t>
      </w:r>
    </w:p>
    <w:p>
      <w:pPr>
        <w:spacing w:after="0" w:line="67" w:lineRule="exact"/>
        <w:rPr>
          <w:rFonts w:ascii="Times New Roman" w:cs="Times New Roman" w:eastAsia="Times New Roman" w:hAnsi="Times New Roman"/>
          <w:sz w:val="18"/>
          <w:szCs w:val="18"/>
          <w:color w:val="auto"/>
        </w:rPr>
      </w:pPr>
    </w:p>
    <w:p>
      <w:pPr>
        <w:ind w:left="980" w:right="280" w:hanging="431"/>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Middleby Board shall have declared the distribution and finally approved all related transactions (and such declaration or approval shall not have been withdrawn).</w:t>
      </w:r>
    </w:p>
    <w:p>
      <w:pPr>
        <w:spacing w:after="0" w:line="67" w:lineRule="exact"/>
        <w:rPr>
          <w:rFonts w:ascii="Times New Roman" w:cs="Times New Roman" w:eastAsia="Times New Roman" w:hAnsi="Times New Roman"/>
          <w:sz w:val="18"/>
          <w:szCs w:val="18"/>
          <w:color w:val="auto"/>
        </w:rPr>
      </w:pPr>
    </w:p>
    <w:p>
      <w:pPr>
        <w:ind w:left="980" w:hanging="431"/>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shall have occurred or failed to occur that, in the judgment of the Middleby Board, in its sole discretion, prevents the consummation of, or makes it inadvisable to effect the separation, the distribution or the other related transactions.</w:t>
      </w:r>
    </w:p>
    <w:p>
      <w:pPr>
        <w:spacing w:after="0" w:line="67" w:lineRule="exact"/>
        <w:rPr>
          <w:rFonts w:ascii="Times New Roman" w:cs="Times New Roman" w:eastAsia="Times New Roman" w:hAnsi="Times New Roman"/>
          <w:sz w:val="18"/>
          <w:szCs w:val="18"/>
          <w:color w:val="auto"/>
        </w:rPr>
      </w:pPr>
    </w:p>
    <w:p>
      <w:pPr>
        <w:ind w:left="980" w:right="180" w:hanging="431"/>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governmental approvals necessary to consummate the distribution and the transactions contemplated by the separation and distribution agreement and the ancillary agreements (as defined below) shall have been obtained and be in full force and effect.</w:t>
      </w:r>
    </w:p>
    <w:p>
      <w:pPr>
        <w:spacing w:after="0" w:line="67" w:lineRule="exact"/>
        <w:rPr>
          <w:rFonts w:ascii="Times New Roman" w:cs="Times New Roman" w:eastAsia="Times New Roman" w:hAnsi="Times New Roman"/>
          <w:sz w:val="18"/>
          <w:szCs w:val="18"/>
          <w:color w:val="auto"/>
        </w:rPr>
      </w:pPr>
    </w:p>
    <w:p>
      <w:pPr>
        <w:ind w:left="980" w:right="300" w:hanging="431"/>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of this information statement (or notice of internet availability thereof) to record holders of Middleby common stock as of 4:00 p.m. Central Time on June 26, 2026, the record date for the distribution.</w:t>
      </w:r>
    </w:p>
    <w:p>
      <w:pPr>
        <w:spacing w:after="0" w:line="67" w:lineRule="exact"/>
        <w:rPr>
          <w:rFonts w:ascii="Times New Roman" w:cs="Times New Roman" w:eastAsia="Times New Roman" w:hAnsi="Times New Roman"/>
          <w:sz w:val="18"/>
          <w:szCs w:val="18"/>
          <w:color w:val="auto"/>
        </w:rPr>
      </w:pPr>
    </w:p>
    <w:p>
      <w:pPr>
        <w:ind w:left="980" w:right="60" w:hanging="431"/>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separation and distribution agreement, the transition services agreement, the tax matters agreement, the employee matters agreement, the intellectual property matters agreement and the other agreements to be entered into to effectuate, or in connection with, the spin-off (other than the separation and distribution agreement, such agreements, collectively, the “ancillary agreements”) shall have been executed and delivered by each party thereto.</w:t>
      </w:r>
    </w:p>
    <w:p>
      <w:pPr>
        <w:spacing w:after="0" w:line="85" w:lineRule="exact"/>
        <w:rPr>
          <w:rFonts w:ascii="Times New Roman" w:cs="Times New Roman" w:eastAsia="Times New Roman" w:hAnsi="Times New Roman"/>
          <w:sz w:val="18"/>
          <w:szCs w:val="18"/>
          <w:color w:val="auto"/>
        </w:rPr>
      </w:pPr>
    </w:p>
    <w:p>
      <w:pPr>
        <w:ind w:left="980" w:right="40" w:hanging="431"/>
        <w:spacing w:after="0" w:line="258"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appraisal firm shall have delivered (A) opinions, dated as of (x) the date of the declaration of the distribution by the Middleby Board and (y) the distribution date (or, with respect to clause (y), a bringdown of such opinion as of the distribution date), to the Middleby Board that (1) after giving effect to the consummation of the transactions, (a) the assets of Middleby, at a fair valuation, exceed its debts (including contingent liabilities), (b) Middleby will be able to pay its debts (including contingent liabilities) as they become due and Middleby will not have an unreasonably small amount of</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9" w:right="479" w:bottom="1440" w:gutter="0" w:footer="0" w:header="0"/>
        </w:sectPr>
      </w:pPr>
    </w:p>
    <w:bookmarkStart w:id="28" w:name="page29"/>
    <w:bookmarkEnd w:id="28"/>
    <w:p>
      <w:pPr>
        <w:ind w:left="10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either assets or capital for the operations of the business in which it is engaged or in which management has indicated it intends to engage and (2) immediately prior to giving effect to the distribution and pursuant to Section 170 of the General Corporation Law of the State of Delaware (the “DGCL”), the surplus of Middleby exceeds the net amount of the distribution and (B) opinions, dated as of (x) the date of the declaration of the cash dividend to be paid in connection with the transactions by Alkar Holdings Inc. (“SpinCo OpCo”) and (y) the payment date of such cash dividend (or, with respect to clause (y), a bringdown of such opinion as of such payment date), to the Middleby Board, SpinCo Board and board of directors of SpinCo OpCo that (1) after giving effect to the consummation of the transactions, (a) the assets of SpinCo OpCo, at a fair valuation, exceed its debts (including contingent liabilities), (b) SpinCo OpCo will be able to pay its debts (including contingent liabilities) as they become due and SpinCo OpCo not will have an unreasonably small amount of either assets or capital for the operations of the business in which it is engaged or in which management has indicated it intends to engage and (2) immediately prior to giving effect to the dividend and pursuant to Section 180.0640 of the Business Corporations Law of Wisconsin, the fair value of the assets of SpinCo OpCo exceeds the sum of (I) its liabilities (including contingent liabilities) plus (II) the amount that would be needed, if SpinCo OpCo were to be dissolved at the time of the dividend, to satisfy the preferential rights upon dissolution of shareholders whose preferential rights are superior to those receiving the dividend (the opinions to be delivered pursuant to clause (A) and clause (B), collectively, the “Solvency Opinions”); and such Solvency Opinions shall be reasonably acceptable to Middleby in form and substance; and such Solvency Opinions shall not have been withdrawn or rescinded or modified in any respect adverse to Middleby.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-2068195</wp:posOffset>
            </wp:positionV>
            <wp:extent cx="6998970" cy="511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82" w:lineRule="exact"/>
        <w:rPr>
          <w:sz w:val="20"/>
          <w:szCs w:val="20"/>
          <w:color w:val="auto"/>
        </w:rPr>
      </w:pPr>
    </w:p>
    <w:p>
      <w:pPr>
        <w:ind w:left="980" w:right="440" w:hanging="431"/>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substantially concurrently with the distribution, SpinCo and each of its consolidated subsidiaries shall be released from its guaranty and other obligations under Middleby’s financing documents, and all security interests granted over their respective assets (including the equity interests of SpinCo) shall be released.</w:t>
      </w:r>
    </w:p>
    <w:p>
      <w:pPr>
        <w:spacing w:after="0" w:line="81" w:lineRule="exact"/>
        <w:rPr>
          <w:rFonts w:ascii="Times New Roman" w:cs="Times New Roman" w:eastAsia="Times New Roman" w:hAnsi="Times New Roman"/>
          <w:sz w:val="18"/>
          <w:szCs w:val="18"/>
          <w:color w:val="auto"/>
        </w:rPr>
      </w:pPr>
    </w:p>
    <w:p>
      <w:pPr>
        <w:ind w:left="980" w:hanging="431"/>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OpCo shall have consummated the necessary debt financing transactions and paid the related cash dividend.</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Middleby and SpinCo cannot assure you that any or all of these conditions will be met, and the Middleby Board may also waive conditions to the distribution in its sole discretion. If the spin-off is completed and the Middleby Board waives any such condition, such waiver could have a material adverse effect on Middleby’s and SpinCo’s respective business, financial condition or results of operations, including, without limitation, as a result of illiquid trading due to the failure of SpinCo common stock to be accepted for listing, litigation relating to any preliminary or permanent injunctions that sought to prevent the consummation of the spin-off, or the failure of Middleby and SpinCo to obtain any required regulatory approvals. As of the date hereof, the Middleby Board does not intend to waive any of the conditions described herein. Middleby does not intend to notify its stockholders of any modifications to the terms of the spin-off, including the waiver of any conditions to the distribution, that, in the judgment of the Middleby Board, are not material. However, the Middleby Board would likely consider material such matters as significant changes to the distribution ratio, or significant changes to the assets to be contributed or the liabilities to be assumed in the separation, as well as the waiver of the condition that the Middleby Board receives the Tax Opinion with respect to the spin-off. To the extent that the Middleby Board determines that any modification by Middleby materially changes the material terms of the spin-off, including through the waiver of a condition to the distribution, Middleby will notify its stockholders in a manner reasonably calculated to inform them about the modification as may be required by law, by, for example, publishing a press release, filing a current report on Form 8-K or circulating a supplement to this information statement.</w:t>
      </w:r>
    </w:p>
    <w:p>
      <w:pPr>
        <w:spacing w:after="0" w:line="18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fulfillment of the above conditions will not create any obligation on behalf of Middleby to effect the spin-off, and Middleby may at any time decline to go forward with the spin-off. Until the spin-off has occurred,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83" w:right="479" w:bottom="1440" w:gutter="0" w:footer="0" w:header="0"/>
        </w:sectPr>
      </w:pPr>
    </w:p>
    <w:bookmarkStart w:id="29" w:name="page30"/>
    <w:bookmarkEnd w:id="29"/>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Middleby has the right not to complete the spin-off, even if all the conditions have been satisfied, if, at any time 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 For a more detailed description, see the section of this information statement entitled “The Separation and Distribution—General—Conditions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-704850</wp:posOffset>
            </wp:positionV>
            <wp:extent cx="6998970" cy="5918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received approval to list SpinCo common stock on Nasdaq under the symbol “MFP.”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So long as the distribution qualifies for the Intended Tax Treatment, no gain or loss will be recognized by you for U.S. federal income tax purposes, and no amount will be included in your income, for U.S. federal income tax purposes, upon the receipt of shares of SpinCo common stock pursuant to the distribution.</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potential U.S. federal income tax consequences to SpinCo, Middleby and to you of the spin-off, see the section of this information statement entitled “Material U.S. Federal Income Tax Consequences of the Distribution.”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advisor as to the particular consequences of the spin-off to you, including the applicability and effect of any U.S. federal, state and local, and any foreign, tax laws.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Middleby and SpinCo Following the Spin-Off</w:t>
      </w:r>
    </w:p>
    <w:p>
      <w:pPr>
        <w:spacing w:after="0" w:line="12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Following the completion of the spin-off, Middleby and SpinCo will be independent companies. Middleby will not own any shares of SpinCo common stock, and we expect that the relationship between Middleby and SpinCo will be governed by the ancillary agreements. These agreements will provide for the allocation between SpinCo and Middleby of Middleby and SpinCo’s assets, employees, liabilities and obligations (including employee benefits and tax-related assets and liabilities) attributable to periods prior to, at and after the spin-off. For additional information regarding these agreements, see the sections of this information statement entitled “Risk Factors—Risks Related to the Spin-Off” and “Certain Relationships and Related Transactions.”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Executive Office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part of the spin-off, SpinCo was incorporated as a corporation in Delaware on July 17, 2025. Our principal executive offices are currently located at 10275 West Higgins Road, Suite 300, Rosemont, IL 60018, and our telephone number is currently (847) 857-6696. We maintain a website at www.midera.com. The information contained on our website, or that can be accessed through our website, neither constitutes part of this information statement nor is incorporated by reference herein, and investors should not rely on any such information in deciding whether to invest in SpinCo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Furnishing This Information Statement; Changes in the Terms of the Spin-Off</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Middleby stockholders who will receive shares of SpinCo common stock in the distribution. It is not, and is not to be construed as, an inducement or encouragement to buy or sell any of our securities. We believe the information contained in this information statement to be accurate as of the date set forth on the cover of this information statement. Changes may occur</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83" w:right="479" w:bottom="1440" w:gutter="0" w:footer="0" w:header="0"/>
        </w:sectPr>
      </w:pPr>
    </w:p>
    <w:bookmarkStart w:id="30" w:name="page31"/>
    <w:bookmarkEnd w:id="30"/>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that date, and none of us, Middleby, the Middleby Board or the SpinCo Board undertake any obligation to update such information except in the normal course of our respective disclosure obligations and practices, or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-307340</wp:posOffset>
            </wp:positionV>
            <wp:extent cx="6998970" cy="1804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1804035"/>
                    </a:xfrm>
                    <a:prstGeom prst="rect">
                      <a:avLst/>
                    </a:prstGeom>
                    <a:noFill/>
                  </pic:spPr>
                </pic:pic>
              </a:graphicData>
            </a:graphic>
          </wp:anchor>
        </w:drawing>
      </w:r>
    </w:p>
    <w:p>
      <w:pPr>
        <w:spacing w:after="0" w:line="14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Middleby does not intend to notify its stockholders of any modifications to the terms of the spin-off, including the waiver of any conditions to the distribution, that, in the judgment of the Middleby Board, are not material.</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However, the Middleby Board would likely consider material matters such as significant changes to the distribution ratio, or significant changes to the assets to be contributed or the liabilities to be assumed in the separation, as well as the waiver of the condition that the Middleby Board receives the Tax Opinion with respect to the spin-off. To the extent that the Middleby Board determines that any modification by Middleby materially changes the material terms of the spin-off, including through the waiver of a condition to the distribution, Middleby will notify Middleby stockholders in a manner reasonably calculated to inform them about the modification as may be required by law, by, for example, publishing a press release, filing a current report on Form 8-K or making available a supplement to this information statement. As of the date hereof, the Middleby Board does not intend to waive any of the conditions described herein.</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83" w:right="49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SUMMARY OF HISTORICAL AND UNAUDITED PRO FORMA CONDENSED COMBINED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998970" cy="4958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4958715"/>
                    </a:xfrm>
                    <a:prstGeom prst="rect">
                      <a:avLst/>
                    </a:prstGeom>
                    <a:noFill/>
                  </pic:spPr>
                </pic:pic>
              </a:graphicData>
            </a:graphic>
          </wp:anchor>
        </w:drawing>
      </w:r>
    </w:p>
    <w:p>
      <w:pPr>
        <w:spacing w:after="0" w:line="20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following tables present certain selected historical combined financial information, which was prepared on a “carve-out” basis in connection with the expected spin-off and has been derived from the consolidated financial statements and historical accounting records of Middleby. The summary historical condensed combined statements of earnings information for the three months ended April 4, 2026 and March 29, 2025 and the summary historical condensed combined balance sheet information as of April 4, 2026 have been derived from our unaudited historical condensed combined financial statements and the accompanying notes included elsewhere in this information statement. The summary historical combined statements of earnings information for the fiscal years ended January 3, 2026, December 28, 2024 and December 30, 2023 and the summary historical combined balance sheets information as of January 3, 2026 and December 28, 2024 have been derived from our audited historical combined financial statements and accompanying notes included elsewhere in this information statement.</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summary unaudited pro forma condensed combined financial information as of April 4, 2026, for the three months ended April 4, 2026, and for the fiscal year ended January 3, 2026 has been derived from our unaudited pro forma condensed combined financial statements included in the section of this information statement entitled “Unaudited Pro Forma Condensed Combined Financial Information.” The unaudited pro forma condensed combined financial statements have been derived from our unaudited historical condensed combined statement of earnings for the three months ended April 4, 2026, our audited historical combined statement of earnings for the fiscal year ended January 3, 2026, and our unaudited historical condensed combined balance sheet as of April 4, 2026. The pro forma adjustments to the unaudited pro forma condensed combined statements of earnings for the three months ended April 4, 2026 and fiscal year ended January 3, 2026 assume that the spin-off and related transactions occurred on December 29, 2024. The unaudited pro forma condensed combined balance sheet information gives effect to the spin-off and related transactions as if they had occurred on April 4, 2026. See “Unaudited Pro Forma Condensed Combined Financial Information.” The unaudited pro forma condensed combined financial information is based upon available information and assumptions that we believe are reasonable and supportable. The unaudited pro forma condensed combined financial information is for illustrative and informational purposes only.</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summary historical combined financial information below is only a summary and should be read in conjunction with the section of this information statement entitled “Management’s Discussion and Analysis of Financial Condition and Results of Operations” as well as our audited historical combined financial statements and accompanying notes and unaudited historical condensed combined financial statements and accompanying notes included elsewhere in this information statement. The unaudited pro forma condensed combined financial information below is only a summary and should be read in conjunction with the section of this information statement entitled “Unaudited Pro Forma Condensed Combined Financial Information.”</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historical combined financial information and the unaudited pro forma condensed combined financial information may not reflect what our financial condition or results of operations would have been had we been a standalone company during the periods presented. In addition, the historical combined financial information and the unaudited pro forma condensed combined financial information may not reflect what our financial condition and results of operations may be in the future. See “Risk Factors—Risks Related to the Spin-Off— 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79"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Combined Statements of Earnings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6998970" cy="4204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420433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58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80" w:type="dxa"/>
            <w:vAlign w:val="bottom"/>
          </w:tcPr>
          <w:p>
            <w:pPr>
              <w:spacing w:after="0"/>
              <w:rPr>
                <w:sz w:val="10"/>
                <w:szCs w:val="10"/>
                <w:color w:val="auto"/>
              </w:rPr>
            </w:pPr>
          </w:p>
        </w:tc>
        <w:tc>
          <w:tcPr>
            <w:tcW w:w="7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820" w:type="dxa"/>
            <w:vAlign w:val="bottom"/>
            <w:gridSpan w:val="8"/>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20" w:type="dxa"/>
            <w:vAlign w:val="bottom"/>
            <w:gridSpan w:val="8"/>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April 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April 4,</w:t>
            </w: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80" w:type="dxa"/>
            <w:vAlign w:val="bottom"/>
            <w:vMerge w:val="continue"/>
          </w:tcPr>
          <w:p>
            <w:pPr>
              <w:spacing w:after="0"/>
              <w:rPr>
                <w:sz w:val="15"/>
                <w:szCs w:val="15"/>
                <w:color w:val="auto"/>
              </w:rPr>
            </w:pPr>
          </w:p>
        </w:tc>
        <w:tc>
          <w:tcPr>
            <w:tcW w:w="56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$225,046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853,157</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853,157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$771,996</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$759,268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147,638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5"/>
              </w:rPr>
              <w:t>544,283</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147,638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107,548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544,283</w:t>
            </w:r>
          </w:p>
        </w:tc>
        <w:tc>
          <w:tcPr>
            <w:tcW w:w="40" w:type="dxa"/>
            <w:vAlign w:val="bottom"/>
          </w:tcPr>
          <w:p>
            <w:pPr>
              <w:spacing w:after="0"/>
              <w:rPr>
                <w:sz w:val="18"/>
                <w:szCs w:val="18"/>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466,565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308,874</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308,874</w:t>
            </w: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305,431</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5"/>
              </w:rPr>
              <w:t>245,045</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59,073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207,023</w:t>
            </w:r>
          </w:p>
        </w:tc>
        <w:tc>
          <w:tcPr>
            <w:tcW w:w="40" w:type="dxa"/>
            <w:vAlign w:val="bottom"/>
          </w:tcPr>
          <w:p>
            <w:pPr>
              <w:spacing w:after="0"/>
              <w:rPr>
                <w:sz w:val="18"/>
                <w:szCs w:val="18"/>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146,619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2,620</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plant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(1,139)</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63,310</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101,332</w:t>
            </w: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157,331</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14,207</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tcPr>
          <w:p>
            <w:pPr>
              <w:spacing w:after="0"/>
              <w:rPr>
                <w:sz w:val="18"/>
                <w:szCs w:val="18"/>
                <w:color w:val="auto"/>
              </w:rPr>
            </w:pPr>
          </w:p>
        </w:tc>
        <w:tc>
          <w:tcPr>
            <w:tcW w:w="9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(2,168)</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(8,694)</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(8,694)</w:t>
            </w: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(1,147)</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57,797</w:t>
            </w:r>
          </w:p>
        </w:tc>
        <w:tc>
          <w:tcPr>
            <w:tcW w:w="22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112,044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160,646</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25,313</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29,346</w:t>
            </w: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38,367</w:t>
            </w: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earnings</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$ 11,581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$ 14,319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122,279</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120,283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Combined Balance Sheets Information</w:t>
            </w: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24"/>
                <w:szCs w:val="24"/>
                <w:color w:val="auto"/>
              </w:rPr>
            </w:pPr>
          </w:p>
        </w:tc>
        <w:tc>
          <w:tcPr>
            <w:tcW w:w="12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Borders>
              <w:top w:val="single" w:sz="8" w:color="auto"/>
            </w:tcBorders>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4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3, 2026</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57,929</w:t>
            </w:r>
          </w:p>
        </w:tc>
        <w:tc>
          <w:tcPr>
            <w:tcW w:w="6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90,913</w:t>
            </w: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8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1,426,593</w:t>
            </w:r>
          </w:p>
        </w:tc>
        <w:tc>
          <w:tcPr>
            <w:tcW w:w="2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1,413,675</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1,461,013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1,282,897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4,482</w:t>
            </w: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9"/>
              </w:rPr>
              <w:t>279,547</w:t>
            </w:r>
          </w:p>
        </w:tc>
        <w:tc>
          <w:tcPr>
            <w:tcW w:w="2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28,722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776,102</w:t>
            </w:r>
          </w:p>
        </w:tc>
        <w:tc>
          <w:tcPr>
            <w:tcW w:w="2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1,016,598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1,060,737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58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1,426,593</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1,413,675</w:t>
            </w: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1,461,013</w:t>
            </w:r>
          </w:p>
        </w:tc>
        <w:tc>
          <w:tcPr>
            <w:tcW w:w="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1,282,897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4780" w:type="dxa"/>
            <w:vAlign w:val="bottom"/>
          </w:tcPr>
          <w:p>
            <w:pPr>
              <w:spacing w:after="0"/>
              <w:rPr>
                <w:sz w:val="24"/>
                <w:szCs w:val="24"/>
                <w:color w:val="auto"/>
              </w:rPr>
            </w:pPr>
          </w:p>
        </w:tc>
        <w:tc>
          <w:tcPr>
            <w:tcW w:w="9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9" w:right="4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QUESTIONS AND ANSWERS ABOUT THE SEPARATION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-127000</wp:posOffset>
            </wp:positionV>
            <wp:extent cx="6998970" cy="4470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447040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SpinCo and why is Middleby separating SpinCo’s</w:t>
      </w:r>
      <w:r>
        <w:rPr>
          <w:rFonts w:ascii="Times New Roman" w:cs="Times New Roman" w:eastAsia="Times New Roman" w:hAnsi="Times New Roman"/>
          <w:sz w:val="18"/>
          <w:szCs w:val="18"/>
          <w:color w:val="auto"/>
        </w:rPr>
        <w:t>SpinCo currently is a wholly owned subsidiary of Middleby that was formed to hold assets</w:t>
      </w:r>
    </w:p>
    <w:p>
      <w:pPr>
        <w:spacing w:after="0" w:line="29" w:lineRule="exact"/>
        <w:rPr>
          <w:sz w:val="20"/>
          <w:szCs w:val="20"/>
          <w:color w:val="auto"/>
        </w:rPr>
      </w:pPr>
    </w:p>
    <w:p>
      <w:pPr>
        <w:ind w:left="4160" w:right="140" w:hanging="4087"/>
        <w:spacing w:after="0" w:line="252" w:lineRule="auto"/>
        <w:tabs>
          <w:tab w:leader="none" w:pos="4140" w:val="left"/>
        </w:tabs>
        <w:rPr>
          <w:sz w:val="20"/>
          <w:szCs w:val="20"/>
          <w:color w:val="auto"/>
        </w:rPr>
      </w:pPr>
      <w:r>
        <w:rPr>
          <w:rFonts w:ascii="Times New Roman" w:cs="Times New Roman" w:eastAsia="Times New Roman" w:hAnsi="Times New Roman"/>
          <w:sz w:val="18"/>
          <w:szCs w:val="18"/>
          <w:i w:val="1"/>
          <w:iCs w:val="1"/>
          <w:color w:val="auto"/>
        </w:rPr>
        <w:t>business and distributing SpinCo common stock?</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and liabilities related to the Food Processing business. The separation of SpinCo from Middleby and the distribution of SpinCo common stock are intended to provide you with equity investments in two separate companies, each of which will be able to focus on their respective businesses. Middleby and SpinCo believe that the spin-off will result in enhanced long-term performance of each business for the reasons discussed in the section of this information statement entitled “The Separation and Distribution—General—Reasons for the Spin-Off.”</w:t>
      </w:r>
    </w:p>
    <w:p>
      <w:pPr>
        <w:sectPr>
          <w:pgSz w:w="11900" w:h="16838" w:orient="portrait"/>
          <w:cols w:equalWidth="0" w:num="1">
            <w:col w:w="10960"/>
          </w:cols>
          <w:pgMar w:left="460" w:top="279" w:right="479" w:bottom="1440" w:gutter="0" w:footer="0" w:header="0"/>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Why am I receiving this document?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Middleby is making this document available to you because you are a holder of Middleby common stock. If you are a holder of Middleby common stock as of 4:00 p.m. Central Time on June 26, 2026, the record date for the distribution, you will be entitled to receive a number of shares of SpinCo common stock equal to the distribution ratio for each share of Middleby common stock that you hold at such time. This document will help you understand how the separation and distribution will affect your investment in Middleby and your investment in SpinCo after the spin-off.</w:t>
      </w:r>
    </w:p>
    <w:p>
      <w:pPr>
        <w:spacing w:after="0" w:line="92" w:lineRule="exact"/>
        <w:rPr>
          <w:sz w:val="20"/>
          <w:szCs w:val="20"/>
          <w:color w:val="auto"/>
        </w:rPr>
      </w:pPr>
    </w:p>
    <w:p>
      <w:pPr>
        <w:sectPr>
          <w:pgSz w:w="11900" w:h="16838" w:orient="portrait"/>
          <w:cols w:equalWidth="0" w:num="2">
            <w:col w:w="3440" w:space="720"/>
            <w:col w:w="6800"/>
          </w:cols>
          <w:pgMar w:left="460" w:top="279" w:right="479" w:bottom="1440" w:gutter="0" w:footer="0" w:header="0"/>
          <w:type w:val="continuous"/>
        </w:sectPr>
      </w:pPr>
    </w:p>
    <w:p>
      <w:pPr>
        <w:ind w:left="4160" w:right="60" w:hanging="4169"/>
        <w:spacing w:after="0" w:line="256" w:lineRule="auto"/>
        <w:tabs>
          <w:tab w:leader="none" w:pos="4140" w:val="left"/>
        </w:tabs>
        <w:rPr>
          <w:sz w:val="20"/>
          <w:szCs w:val="20"/>
          <w:color w:val="auto"/>
        </w:rPr>
      </w:pPr>
      <w:r>
        <w:rPr>
          <w:rFonts w:ascii="Times New Roman" w:cs="Times New Roman" w:eastAsia="Times New Roman" w:hAnsi="Times New Roman"/>
          <w:sz w:val="18"/>
          <w:szCs w:val="18"/>
          <w:i w:val="1"/>
          <w:iCs w:val="1"/>
          <w:color w:val="auto"/>
        </w:rPr>
        <w:t>How will the spin-off of SpinCo from Middleby work?</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To effect the spin-off, Middleby will undertake a series of internal reorganization transactions pursuant to which, among other transactions, SpinCo will hold the Food Processing business and Middleby will distribute 100% of the outstanding shares of SpinCo common stock as of the distribution date to Middleby stockholders on a pro rata basis as a distribution. Following the completion of the spin-off, SpinCo, holding the Food Processing business, will be an independent, publicly traded company.</w:t>
      </w:r>
    </w:p>
    <w:p>
      <w:pPr>
        <w:sectPr>
          <w:pgSz w:w="11900" w:h="16838" w:orient="portrait"/>
          <w:cols w:equalWidth="0" w:num="1">
            <w:col w:w="10960"/>
          </w:cols>
          <w:pgMar w:left="460" w:top="279" w:right="479" w:bottom="1440" w:gutter="0" w:footer="0" w:header="0"/>
          <w:type w:val="continuous"/>
        </w:sectPr>
      </w:pPr>
    </w:p>
    <w:p>
      <w:pPr>
        <w:spacing w:after="0" w:line="93" w:lineRule="exact"/>
        <w:rPr>
          <w:sz w:val="20"/>
          <w:szCs w:val="20"/>
          <w:color w:val="auto"/>
        </w:rPr>
      </w:pPr>
    </w:p>
    <w:p>
      <w:pPr>
        <w:ind w:left="80" w:right="1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What business will SpinCo engage in after the spin-off?</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80" w:right="2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Why is the spin-off of SpinCo structured as a distribution?</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SpinCo will continue to focus on the Food Processing business. For additional details regarding SpinCo’s business, see the section of this information statement entitled “Business.”</w:t>
      </w:r>
    </w:p>
    <w:p>
      <w:pPr>
        <w:spacing w:after="0" w:line="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Middleby believes that a distribution of shares of SpinCo common stock to Middleby stockholders, which Middleby intends to be tax-free for U.S. federal income tax purposes, is an efficient way to separate the Food Processing business in a manner that is expected to create long-term benefits and value for Middleby and SpinCo. Middleby will not retain any shares of SpinCo common stock following the spin-off.</w:t>
      </w:r>
    </w:p>
    <w:p>
      <w:pPr>
        <w:spacing w:after="0" w:line="129" w:lineRule="exact"/>
        <w:rPr>
          <w:sz w:val="20"/>
          <w:szCs w:val="20"/>
          <w:color w:val="auto"/>
        </w:rPr>
      </w:pPr>
    </w:p>
    <w:p>
      <w:pPr>
        <w:sectPr>
          <w:pgSz w:w="11900" w:h="16838" w:orient="portrait"/>
          <w:cols w:equalWidth="0" w:num="2">
            <w:col w:w="3440" w:space="720"/>
            <w:col w:w="6800"/>
          </w:cols>
          <w:pgMar w:left="460" w:top="279" w:right="4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9" w:right="47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14"/>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What will be distributed in the distribution?</w:t>
            </w:r>
            <w:r>
              <w:rPr>
                <w:rFonts w:ascii="Times New Roman" w:cs="Times New Roman" w:eastAsia="Times New Roman" w:hAnsi="Times New Roman"/>
                <w:sz w:val="18"/>
                <w:szCs w:val="18"/>
                <w:color w:val="auto"/>
              </w:rPr>
              <w:t xml:space="preserve"> </w:t>
            </w:r>
          </w:p>
        </w:tc>
        <w:tc>
          <w:tcPr>
            <w:tcW w:w="69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 a holder of Middleby common stock, you will receive a dividend of a number of shares of</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SpinCo common stock equal to the distribution ratio for each share of Middleby common</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you hold as of 4:00 p.m. Central Time on June 26, 2026, the record date for the</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Your proportionate interest in Middleby will not change as a result of the</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For a more detailed description, see the section of this information statement</w:t>
            </w:r>
          </w:p>
        </w:tc>
      </w:tr>
      <w:tr>
        <w:trPr>
          <w:trHeight w:val="234"/>
        </w:trPr>
        <w:tc>
          <w:tcPr>
            <w:tcW w:w="408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entitled “The Separation and Distribution.”</w:t>
            </w:r>
          </w:p>
        </w:tc>
      </w:tr>
      <w:tr>
        <w:trPr>
          <w:trHeight w:val="3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What is the record date for the distribution?</w:t>
            </w:r>
            <w:r>
              <w:rPr>
                <w:rFonts w:ascii="Times New Roman" w:cs="Times New Roman" w:eastAsia="Times New Roman" w:hAnsi="Times New Roman"/>
                <w:sz w:val="18"/>
                <w:szCs w:val="18"/>
                <w:color w:val="auto"/>
              </w:rPr>
              <w:t xml:space="preserve"> </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record date for the distribution is 4:00 p.m. Central Time on June 26, 2026.</w:t>
            </w:r>
          </w:p>
        </w:tc>
      </w:tr>
      <w:tr>
        <w:trPr>
          <w:trHeight w:val="33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When will the distribution occur?</w:t>
            </w:r>
            <w:r>
              <w:rPr>
                <w:rFonts w:ascii="Times New Roman" w:cs="Times New Roman" w:eastAsia="Times New Roman" w:hAnsi="Times New Roman"/>
                <w:sz w:val="18"/>
                <w:szCs w:val="18"/>
                <w:color w:val="auto"/>
              </w:rPr>
              <w:t xml:space="preserve"> </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 is expected that 100% of the shares of SpinCo common stock held by Middleby will be</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distributed by Middleby on or about July 6, 2026, to holders of record of Middleby common</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as of 4:00 p.m. Central Time on June 26, 2026, the record date for the distribution.</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However, no assurance can be provided as to the timing of the distribution or that all</w:t>
            </w:r>
          </w:p>
        </w:tc>
      </w:tr>
      <w:tr>
        <w:trPr>
          <w:trHeight w:val="234"/>
        </w:trPr>
        <w:tc>
          <w:tcPr>
            <w:tcW w:w="408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the distribution will be met.</w:t>
            </w:r>
          </w:p>
        </w:tc>
      </w:tr>
      <w:tr>
        <w:trPr>
          <w:trHeight w:val="3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Is a stockholder vote required to approve the spin-off?</w:t>
            </w:r>
            <w:r>
              <w:rPr>
                <w:rFonts w:ascii="Times New Roman" w:cs="Times New Roman" w:eastAsia="Times New Roman" w:hAnsi="Times New Roman"/>
                <w:sz w:val="18"/>
                <w:szCs w:val="18"/>
                <w:color w:val="auto"/>
              </w:rPr>
              <w:t xml:space="preserve"> </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stockholder vote is required to approve the spin-off.</w:t>
            </w:r>
          </w:p>
        </w:tc>
      </w:tr>
      <w:tr>
        <w:trPr>
          <w:trHeight w:val="331"/>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What do stockholders need to do to participate in the</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Middleby stockholders entitled to receive shares of SpinCo common stock in the distribution</w:t>
            </w:r>
          </w:p>
        </w:tc>
      </w:tr>
      <w:tr>
        <w:trPr>
          <w:trHeight w:val="218"/>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xml:space="preserve"> </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will not be required to take any action to receive SpinCo common stock in the distribution, but</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you are urged to read this entire information statement carefully. No stockholder approval of</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distribution is required. You are not being asked for a proxy. You do not need to pay any</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consideration or exchange or surrender your existing Middleby common stock or take any</w:t>
            </w:r>
          </w:p>
        </w:tc>
      </w:tr>
      <w:tr>
        <w:trPr>
          <w:trHeight w:val="234"/>
        </w:trPr>
        <w:tc>
          <w:tcPr>
            <w:tcW w:w="408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action to receive your shares of SpinCo common stock.</w:t>
            </w:r>
          </w:p>
        </w:tc>
      </w:tr>
      <w:tr>
        <w:trPr>
          <w:trHeight w:val="31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What will govern my rights as a SpinCo stockholder?</w:t>
            </w:r>
            <w:r>
              <w:rPr>
                <w:rFonts w:ascii="Times New Roman" w:cs="Times New Roman" w:eastAsia="Times New Roman" w:hAnsi="Times New Roman"/>
                <w:sz w:val="18"/>
                <w:szCs w:val="18"/>
                <w:color w:val="auto"/>
              </w:rPr>
              <w:t xml:space="preserve"> </w:t>
            </w: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Your rights as a SpinCo stockholder will be governed by Delaware law, as well as our</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amended and restated certificate of incorporation and our amended and restated bylaws.</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Except with respect to the exclusive forum provisions, there are no material changes in</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rights between the stockholder rights at Middleby and SpinCo. For additional</w:t>
            </w:r>
          </w:p>
        </w:tc>
      </w:tr>
      <w:tr>
        <w:trPr>
          <w:trHeight w:val="216"/>
        </w:trPr>
        <w:tc>
          <w:tcPr>
            <w:tcW w:w="408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details regarding SpinCo common stock and SpinCo stockholder rights, see the section of this</w:t>
            </w:r>
          </w:p>
        </w:tc>
      </w:tr>
      <w:tr>
        <w:trPr>
          <w:trHeight w:val="234"/>
        </w:trPr>
        <w:tc>
          <w:tcPr>
            <w:tcW w:w="408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statement entitled “Description of Capital Stock.”</w:t>
            </w:r>
          </w:p>
        </w:tc>
      </w:tr>
    </w:tbl>
    <w:p>
      <w:pPr>
        <w:ind w:left="100"/>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9225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922520"/>
                    </a:xfrm>
                    <a:prstGeom prst="rect">
                      <a:avLst/>
                    </a:prstGeom>
                    <a:noFill/>
                  </pic:spPr>
                </pic:pic>
              </a:graphicData>
            </a:graphic>
          </wp:anchor>
        </w:drawing>
      </w:r>
    </w:p>
    <w:p>
      <w:pPr>
        <w:spacing w:after="0" w:line="223" w:lineRule="exact"/>
        <w:rPr>
          <w:sz w:val="20"/>
          <w:szCs w:val="20"/>
          <w:color w:val="auto"/>
        </w:rPr>
      </w:pPr>
    </w:p>
    <w:p>
      <w:pPr>
        <w:ind w:left="10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Will I receive physical certificates representing shares of SpinCo common stock following the spin-off?</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 Following the spin-off, SpinCo will not issue physical certificates representing shares of SpinCo common stock, even if requested. If you own Middleby common stock as of the record date for the distribution, Middleby, with the assistance of the distribution agent, will electronically distribute shares of SpinCo common stock to you or to your brokerage firm on your behalf by way of direct registration form. “Direct registration form” refers to a method of recording share</w:t>
      </w:r>
    </w:p>
    <w:p>
      <w:pPr>
        <w:spacing w:after="0" w:line="133" w:lineRule="exact"/>
        <w:rPr>
          <w:sz w:val="20"/>
          <w:szCs w:val="20"/>
          <w:color w:val="auto"/>
        </w:rPr>
      </w:pPr>
    </w:p>
    <w:p>
      <w:pPr>
        <w:sectPr>
          <w:pgSz w:w="11900" w:h="16838" w:orient="portrait"/>
          <w:cols w:equalWidth="0" w:num="2">
            <w:col w:w="4080" w:space="100"/>
            <w:col w:w="6840"/>
          </w:cols>
          <w:pgMar w:left="440" w:top="265"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65" w:right="439" w:bottom="1440" w:gutter="0" w:footer="0" w:header="0"/>
          <w:type w:val="continuous"/>
        </w:sectPr>
      </w:pPr>
    </w:p>
    <w:bookmarkStart w:id="35" w:name="page36"/>
    <w:bookmarkEnd w:id="35"/>
    <w:p>
      <w:pPr>
        <w:ind w:left="4180"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ownership when no physical share certificates are issued to stockholders, as is the case in this distribution. The distribution agent or the transfer agent will mail you a book-entry account statement that reflects your shares of SpinCo common stock, or your bank or brokerage firm will credit your account for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-570230</wp:posOffset>
            </wp:positionV>
            <wp:extent cx="6998970" cy="50361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79" w:lineRule="exact"/>
        <w:rPr>
          <w:sz w:val="20"/>
          <w:szCs w:val="20"/>
          <w:color w:val="auto"/>
        </w:rPr>
      </w:pPr>
    </w:p>
    <w:p>
      <w:pPr>
        <w:ind w:left="4180" w:right="280"/>
        <w:spacing w:after="0" w:line="266" w:lineRule="auto"/>
        <w:rPr>
          <w:sz w:val="20"/>
          <w:szCs w:val="20"/>
          <w:color w:val="auto"/>
        </w:rPr>
      </w:pPr>
      <w:r>
        <w:rPr>
          <w:rFonts w:ascii="Times New Roman" w:cs="Times New Roman" w:eastAsia="Times New Roman" w:hAnsi="Times New Roman"/>
          <w:sz w:val="18"/>
          <w:szCs w:val="18"/>
          <w:color w:val="auto"/>
        </w:rPr>
        <w:t>Following the spin-off, stockholders whose shares are held in book-entry form may request that their shares of SpinCo common stock held in book-entry form be transferred to a brokerage or other account at any time.</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How many shares of SpinCo common stock will I receive </w:t>
      </w:r>
      <w:r>
        <w:rPr>
          <w:rFonts w:ascii="Times New Roman" w:cs="Times New Roman" w:eastAsia="Times New Roman" w:hAnsi="Times New Roman"/>
          <w:sz w:val="18"/>
          <w:szCs w:val="18"/>
          <w:color w:val="auto"/>
        </w:rPr>
        <w:t>Middleby will distribute to you a number of shares of SpinCo common stock equal to the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 the distribution?</w:t>
            </w:r>
            <w:r>
              <w:rPr>
                <w:rFonts w:ascii="Times New Roman" w:cs="Times New Roman" w:eastAsia="Times New Roman" w:hAnsi="Times New Roman"/>
                <w:sz w:val="18"/>
                <w:szCs w:val="18"/>
                <w:color w:val="auto"/>
              </w:rPr>
              <w:t xml:space="preserve"> </w:t>
            </w: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distribution ratio for each share of Middleby common stock held by you as of the record date</w:t>
            </w:r>
          </w:p>
        </w:tc>
      </w:tr>
      <w:tr>
        <w:trPr>
          <w:trHeight w:val="216"/>
        </w:trPr>
        <w:tc>
          <w:tcPr>
            <w:tcW w:w="36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the distribution. Based on 45,214,588 shares of Middleby common stock outstanding as of</w:t>
            </w:r>
          </w:p>
        </w:tc>
      </w:tr>
      <w:tr>
        <w:trPr>
          <w:trHeight w:val="216"/>
        </w:trPr>
        <w:tc>
          <w:tcPr>
            <w:tcW w:w="36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May 21, 2026, an aggregate of 45,214,588 shares of SpinCo common stock will be</w:t>
            </w:r>
          </w:p>
        </w:tc>
      </w:tr>
      <w:tr>
        <w:trPr>
          <w:trHeight w:val="216"/>
        </w:trPr>
        <w:tc>
          <w:tcPr>
            <w:tcW w:w="3680" w:type="dxa"/>
            <w:vAlign w:val="bottom"/>
          </w:tcPr>
          <w:p>
            <w:pPr>
              <w:spacing w:after="0"/>
              <w:rPr>
                <w:sz w:val="18"/>
                <w:szCs w:val="18"/>
                <w:color w:val="auto"/>
              </w:rPr>
            </w:pP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distributed. For additional information on the distribution, see the section of this information</w:t>
            </w:r>
          </w:p>
        </w:tc>
      </w:tr>
      <w:tr>
        <w:trPr>
          <w:trHeight w:val="234"/>
        </w:trPr>
        <w:tc>
          <w:tcPr>
            <w:tcW w:w="3680" w:type="dxa"/>
            <w:vAlign w:val="bottom"/>
          </w:tcPr>
          <w:p>
            <w:pPr>
              <w:spacing w:after="0"/>
              <w:rPr>
                <w:sz w:val="20"/>
                <w:szCs w:val="20"/>
                <w:color w:val="auto"/>
              </w:rPr>
            </w:pP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statement entitled “The Separation and Distribution.”</w:t>
            </w:r>
          </w:p>
        </w:tc>
      </w:tr>
      <w:tr>
        <w:trPr>
          <w:trHeight w:val="31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What are the conditions to the distribution?</w:t>
            </w:r>
            <w:r>
              <w:rPr>
                <w:rFonts w:ascii="Times New Roman" w:cs="Times New Roman" w:eastAsia="Times New Roman" w:hAnsi="Times New Roman"/>
                <w:sz w:val="18"/>
                <w:szCs w:val="18"/>
                <w:color w:val="auto"/>
              </w:rPr>
              <w:t xml:space="preserve"> </w:t>
            </w: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distribution of SpinCo common stock by Middleby is subject to the satisfaction or waiver</w:t>
            </w:r>
          </w:p>
        </w:tc>
      </w:tr>
      <w:tr>
        <w:trPr>
          <w:trHeight w:val="234"/>
        </w:trPr>
        <w:tc>
          <w:tcPr>
            <w:tcW w:w="3680" w:type="dxa"/>
            <w:vAlign w:val="bottom"/>
          </w:tcPr>
          <w:p>
            <w:pPr>
              <w:spacing w:after="0"/>
              <w:rPr>
                <w:sz w:val="20"/>
                <w:szCs w:val="20"/>
                <w:color w:val="auto"/>
              </w:rPr>
            </w:pPr>
          </w:p>
        </w:tc>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of the following conditions, among others:</w:t>
            </w:r>
          </w:p>
        </w:tc>
      </w:tr>
      <w:tr>
        <w:trPr>
          <w:trHeight w:val="319"/>
        </w:trPr>
        <w:tc>
          <w:tcPr>
            <w:tcW w:w="36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The SEC will have declared effective the registration statement of which this</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information statement forms a part, with no stop order relating to the registration</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statement in effect, and no proceedings for such purpose will be pending before, or</w:t>
            </w:r>
          </w:p>
        </w:tc>
      </w:tr>
      <w:tr>
        <w:trPr>
          <w:trHeight w:val="234"/>
        </w:trPr>
        <w:tc>
          <w:tcPr>
            <w:tcW w:w="3680" w:type="dxa"/>
            <w:vAlign w:val="bottom"/>
          </w:tcPr>
          <w:p>
            <w:pPr>
              <w:spacing w:after="0"/>
              <w:rPr>
                <w:sz w:val="20"/>
                <w:szCs w:val="20"/>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threatened by, the SEC.</w:t>
            </w:r>
          </w:p>
        </w:tc>
      </w:tr>
      <w:tr>
        <w:trPr>
          <w:trHeight w:val="319"/>
        </w:trPr>
        <w:tc>
          <w:tcPr>
            <w:tcW w:w="36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Nasdaq will have approved the listing of SpinCo common stock, subject to official</w:t>
            </w:r>
          </w:p>
        </w:tc>
      </w:tr>
      <w:tr>
        <w:trPr>
          <w:trHeight w:val="234"/>
        </w:trPr>
        <w:tc>
          <w:tcPr>
            <w:tcW w:w="3680" w:type="dxa"/>
            <w:vAlign w:val="bottom"/>
          </w:tcPr>
          <w:p>
            <w:pPr>
              <w:spacing w:after="0"/>
              <w:rPr>
                <w:sz w:val="20"/>
                <w:szCs w:val="20"/>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notice of issuance.</w:t>
            </w:r>
          </w:p>
        </w:tc>
      </w:tr>
      <w:tr>
        <w:trPr>
          <w:trHeight w:val="319"/>
        </w:trPr>
        <w:tc>
          <w:tcPr>
            <w:tcW w:w="36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Middleby will have received the Tax Opinion from its tax counsel, Skadden,</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substantially to the effect that, among other things, the distribution will qualify for the</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Intended Tax Treatment. See the section of this information statement entitled</w:t>
            </w:r>
          </w:p>
        </w:tc>
      </w:tr>
      <w:tr>
        <w:trPr>
          <w:trHeight w:val="234"/>
        </w:trPr>
        <w:tc>
          <w:tcPr>
            <w:tcW w:w="3680" w:type="dxa"/>
            <w:vAlign w:val="bottom"/>
          </w:tcPr>
          <w:p>
            <w:pPr>
              <w:spacing w:after="0"/>
              <w:rPr>
                <w:sz w:val="20"/>
                <w:szCs w:val="20"/>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“Material U.S. Federal Income Tax Consequences of the Distribution.”</w:t>
            </w:r>
          </w:p>
        </w:tc>
      </w:tr>
      <w:tr>
        <w:trPr>
          <w:trHeight w:val="319"/>
        </w:trPr>
        <w:tc>
          <w:tcPr>
            <w:tcW w:w="36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All actions and filings necessary or appropriate under applicable securities laws or</w:t>
            </w:r>
          </w:p>
        </w:tc>
      </w:tr>
      <w:tr>
        <w:trPr>
          <w:trHeight w:val="234"/>
        </w:trPr>
        <w:tc>
          <w:tcPr>
            <w:tcW w:w="3680" w:type="dxa"/>
            <w:vAlign w:val="bottom"/>
          </w:tcPr>
          <w:p>
            <w:pPr>
              <w:spacing w:after="0"/>
              <w:rPr>
                <w:sz w:val="20"/>
                <w:szCs w:val="20"/>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“blue sky” laws and the rules and regulations thereunder will have been taken.</w:t>
            </w:r>
          </w:p>
        </w:tc>
      </w:tr>
      <w:tr>
        <w:trPr>
          <w:trHeight w:val="319"/>
        </w:trPr>
        <w:tc>
          <w:tcPr>
            <w:tcW w:w="3680" w:type="dxa"/>
            <w:vAlign w:val="bottom"/>
          </w:tcPr>
          <w:p>
            <w:pPr>
              <w:spacing w:after="0"/>
              <w:rPr>
                <w:sz w:val="24"/>
                <w:szCs w:val="24"/>
                <w:color w:val="auto"/>
              </w:rPr>
            </w:pPr>
          </w:p>
        </w:tc>
        <w:tc>
          <w:tcPr>
            <w:tcW w:w="7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No preliminary or permanent injunction or other order, decree or ruling issued by a</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governmental authority, and no statute, rule, regulation or executive order promulgated</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or enacted by any governmental authority, shall be in effect preventing the</w:t>
            </w:r>
          </w:p>
        </w:tc>
      </w:tr>
      <w:tr>
        <w:trPr>
          <w:trHeight w:val="216"/>
        </w:trPr>
        <w:tc>
          <w:tcPr>
            <w:tcW w:w="3680" w:type="dxa"/>
            <w:vAlign w:val="bottom"/>
          </w:tcPr>
          <w:p>
            <w:pPr>
              <w:spacing w:after="0"/>
              <w:rPr>
                <w:sz w:val="18"/>
                <w:szCs w:val="18"/>
                <w:color w:val="auto"/>
              </w:rPr>
            </w:pPr>
          </w:p>
        </w:tc>
        <w:tc>
          <w:tcPr>
            <w:tcW w:w="7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consummation of, or materially limiting the benefits of, the transactions contemplated</w:t>
            </w:r>
          </w:p>
        </w:tc>
      </w:tr>
      <w:tr>
        <w:trPr>
          <w:trHeight w:val="231"/>
        </w:trPr>
        <w:tc>
          <w:tcPr>
            <w:tcW w:w="3680" w:type="dxa"/>
            <w:vAlign w:val="bottom"/>
            <w:tcBorders>
              <w:bottom w:val="single" w:sz="8" w:color="auto"/>
            </w:tcBorders>
          </w:tcPr>
          <w:p>
            <w:pPr>
              <w:spacing w:after="0"/>
              <w:rPr>
                <w:sz w:val="20"/>
                <w:szCs w:val="20"/>
                <w:color w:val="auto"/>
              </w:rPr>
            </w:pPr>
          </w:p>
        </w:tc>
        <w:tc>
          <w:tcPr>
            <w:tcW w:w="7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by the separation and distribution agreement.</w:t>
            </w:r>
          </w:p>
        </w:tc>
      </w:tr>
      <w:tr>
        <w:trPr>
          <w:trHeight w:val="361"/>
        </w:trPr>
        <w:tc>
          <w:tcPr>
            <w:tcW w:w="3680" w:type="dxa"/>
            <w:vAlign w:val="bottom"/>
          </w:tcPr>
          <w:p>
            <w:pPr>
              <w:spacing w:after="0"/>
              <w:rPr>
                <w:sz w:val="24"/>
                <w:szCs w:val="24"/>
                <w:color w:val="auto"/>
              </w:rPr>
            </w:pPr>
          </w:p>
        </w:tc>
        <w:tc>
          <w:tcPr>
            <w:tcW w:w="73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020"/>
          </w:cols>
          <w:pgMar w:left="440" w:top="283" w:right="439" w:bottom="1440" w:gutter="0" w:footer="0" w:header="0"/>
        </w:sectPr>
      </w:pPr>
    </w:p>
    <w:bookmarkStart w:id="36" w:name="page37"/>
    <w:bookmarkEnd w:id="36"/>
    <w:p>
      <w:pPr>
        <w:ind w:left="3720" w:right="240" w:hanging="323"/>
        <w:spacing w:after="0" w:line="266" w:lineRule="auto"/>
        <w:tabs>
          <w:tab w:leader="none" w:pos="3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Those reorganization transactions with respect to the Commercial Foodservice business and Food Processing business to be completed prior to the distribution will have been effectuated in all material respects.</w:t>
      </w:r>
    </w:p>
    <w:p>
      <w:pPr>
        <w:spacing w:after="0" w:line="81" w:lineRule="exact"/>
        <w:rPr>
          <w:rFonts w:ascii="Times New Roman" w:cs="Times New Roman" w:eastAsia="Times New Roman" w:hAnsi="Times New Roman"/>
          <w:sz w:val="18"/>
          <w:szCs w:val="18"/>
          <w:color w:val="auto"/>
        </w:rPr>
      </w:pPr>
    </w:p>
    <w:p>
      <w:pPr>
        <w:ind w:left="3720" w:right="80" w:hanging="323"/>
        <w:spacing w:after="0" w:line="282" w:lineRule="auto"/>
        <w:tabs>
          <w:tab w:leader="none" w:pos="3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Middleby Board shall have declared the distribution and finally approved all related transactions (and such declaration or approval shall not have been withdrawn).</w:t>
      </w:r>
    </w:p>
    <w:p>
      <w:pPr>
        <w:spacing w:after="0" w:line="67" w:lineRule="exact"/>
        <w:rPr>
          <w:rFonts w:ascii="Times New Roman" w:cs="Times New Roman" w:eastAsia="Times New Roman" w:hAnsi="Times New Roman"/>
          <w:sz w:val="18"/>
          <w:szCs w:val="18"/>
          <w:color w:val="auto"/>
        </w:rPr>
      </w:pPr>
    </w:p>
    <w:p>
      <w:pPr>
        <w:ind w:left="3720" w:hanging="323"/>
        <w:spacing w:after="0" w:line="266" w:lineRule="auto"/>
        <w:tabs>
          <w:tab w:leader="none" w:pos="3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shall have occurred or failed to occur that, in the judgment of the Middleby Board, in its sole discretion, prevents the consummation of, or makes it inadvisable to effect the separation, the distribution or the other related transactions.</w:t>
      </w:r>
    </w:p>
    <w:p>
      <w:pPr>
        <w:spacing w:after="0" w:line="81" w:lineRule="exact"/>
        <w:rPr>
          <w:rFonts w:ascii="Times New Roman" w:cs="Times New Roman" w:eastAsia="Times New Roman" w:hAnsi="Times New Roman"/>
          <w:sz w:val="18"/>
          <w:szCs w:val="18"/>
          <w:color w:val="auto"/>
        </w:rPr>
      </w:pPr>
    </w:p>
    <w:p>
      <w:pPr>
        <w:ind w:left="3720" w:right="220" w:hanging="323"/>
        <w:spacing w:after="0" w:line="266" w:lineRule="auto"/>
        <w:tabs>
          <w:tab w:leader="none" w:pos="3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governmental approvals necessary to consummate the distribution and the transactions contemplated by the separation and distribution agreement and the ancillary agreements shall have been obtained and be in full force and effect.</w:t>
      </w:r>
    </w:p>
    <w:p>
      <w:pPr>
        <w:spacing w:after="0" w:line="81" w:lineRule="exact"/>
        <w:rPr>
          <w:rFonts w:ascii="Times New Roman" w:cs="Times New Roman" w:eastAsia="Times New Roman" w:hAnsi="Times New Roman"/>
          <w:sz w:val="18"/>
          <w:szCs w:val="18"/>
          <w:color w:val="auto"/>
        </w:rPr>
      </w:pPr>
    </w:p>
    <w:p>
      <w:pPr>
        <w:ind w:left="3720" w:right="100" w:hanging="323"/>
        <w:spacing w:after="0" w:line="266" w:lineRule="auto"/>
        <w:tabs>
          <w:tab w:leader="none" w:pos="3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of this information statement (or notice of internet availability thereof) to record holders of Middleby common stock as of 4:00 p.m. Central Time on June 26, 2026, the record date for the distribution.</w:t>
      </w:r>
    </w:p>
    <w:p>
      <w:pPr>
        <w:spacing w:after="0" w:line="81" w:lineRule="exact"/>
        <w:rPr>
          <w:rFonts w:ascii="Times New Roman" w:cs="Times New Roman" w:eastAsia="Times New Roman" w:hAnsi="Times New Roman"/>
          <w:sz w:val="18"/>
          <w:szCs w:val="18"/>
          <w:color w:val="auto"/>
        </w:rPr>
      </w:pPr>
    </w:p>
    <w:p>
      <w:pPr>
        <w:ind w:left="3720" w:right="40" w:hanging="323"/>
        <w:spacing w:after="0" w:line="282" w:lineRule="auto"/>
        <w:tabs>
          <w:tab w:leader="none" w:pos="3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ancillary agreements shall have been executed and delivered by each party thereto.</w:t>
      </w:r>
    </w:p>
    <w:p>
      <w:pPr>
        <w:spacing w:after="0" w:line="67" w:lineRule="exact"/>
        <w:rPr>
          <w:rFonts w:ascii="Times New Roman" w:cs="Times New Roman" w:eastAsia="Times New Roman" w:hAnsi="Times New Roman"/>
          <w:sz w:val="18"/>
          <w:szCs w:val="18"/>
          <w:color w:val="auto"/>
        </w:rPr>
      </w:pPr>
    </w:p>
    <w:p>
      <w:pPr>
        <w:ind w:left="3720" w:right="60" w:hanging="323"/>
        <w:spacing w:after="0" w:line="261" w:lineRule="auto"/>
        <w:tabs>
          <w:tab w:leader="none" w:pos="3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appraisal firm shall have delivered the Solvency Opinions; and such Solvency Opinions shall be reasonably acceptable to Middleby in form and substance; and such Solvency Opinions shall not have been withdrawn or rescinded or modified in any respect adverse to Middleby.</w:t>
      </w:r>
    </w:p>
    <w:p>
      <w:pPr>
        <w:spacing w:after="0" w:line="85" w:lineRule="exact"/>
        <w:rPr>
          <w:rFonts w:ascii="Times New Roman" w:cs="Times New Roman" w:eastAsia="Times New Roman" w:hAnsi="Times New Roman"/>
          <w:sz w:val="18"/>
          <w:szCs w:val="18"/>
          <w:color w:val="auto"/>
        </w:rPr>
      </w:pPr>
    </w:p>
    <w:p>
      <w:pPr>
        <w:ind w:left="3720" w:right="300" w:hanging="323"/>
        <w:spacing w:after="0" w:line="261" w:lineRule="auto"/>
        <w:tabs>
          <w:tab w:leader="none" w:pos="3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substantially concurrently with the distribution, SpinCo and each of its consolidated subsidiaries shall be released from its guaranty and other obligations under Middleby’s financing documents, and all security interests granted over their respective assets (including the equity interests of SpinCo) shall be released.</w:t>
      </w:r>
    </w:p>
    <w:p>
      <w:pPr>
        <w:spacing w:after="0" w:line="85" w:lineRule="exact"/>
        <w:rPr>
          <w:rFonts w:ascii="Times New Roman" w:cs="Times New Roman" w:eastAsia="Times New Roman" w:hAnsi="Times New Roman"/>
          <w:sz w:val="18"/>
          <w:szCs w:val="18"/>
          <w:color w:val="auto"/>
        </w:rPr>
      </w:pPr>
    </w:p>
    <w:p>
      <w:pPr>
        <w:ind w:left="3720" w:right="280" w:hanging="323"/>
        <w:spacing w:after="0" w:line="282" w:lineRule="auto"/>
        <w:tabs>
          <w:tab w:leader="none" w:pos="3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OpCo shall have consummated the debt financing transactions and paid the related cash dividend.</w:t>
      </w:r>
    </w:p>
    <w:p>
      <w:pPr>
        <w:spacing w:after="0" w:line="67" w:lineRule="exact"/>
        <w:rPr>
          <w:rFonts w:ascii="Times New Roman" w:cs="Times New Roman" w:eastAsia="Times New Roman" w:hAnsi="Times New Roman"/>
          <w:sz w:val="18"/>
          <w:szCs w:val="18"/>
          <w:color w:val="auto"/>
        </w:rPr>
      </w:pPr>
    </w:p>
    <w:p>
      <w:pPr>
        <w:ind w:left="3720" w:right="20" w:hanging="323"/>
        <w:spacing w:after="0" w:line="256" w:lineRule="auto"/>
        <w:tabs>
          <w:tab w:leader="none" w:pos="3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and SpinCo cannot assure you that any or all of these conditions will be met, and the Middleby Board may also waive conditions to the distribution in its sole discretion. Middleby may decline at any time to go forward with the distribution, whether or not the conditions are satisfied, and the spin-off would then not occur. For a more detailed description, see the section of this information statement entitled “The Separation and Distribution—General—Conditions to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-5100320</wp:posOffset>
            </wp:positionV>
            <wp:extent cx="6998970" cy="510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5104765"/>
                    </a:xfrm>
                    <a:prstGeom prst="rect">
                      <a:avLst/>
                    </a:prstGeom>
                    <a:noFill/>
                  </pic:spPr>
                </pic:pic>
              </a:graphicData>
            </a:graphic>
          </wp:anchor>
        </w:drawing>
      </w:r>
    </w:p>
    <w:p>
      <w:pPr>
        <w:spacing w:after="0" w:line="1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000"/>
          </w:cols>
          <w:pgMar w:left="1440" w:top="283" w:right="459" w:bottom="1440" w:gutter="0" w:footer="0" w:header="0"/>
        </w:sectPr>
      </w:pPr>
    </w:p>
    <w:bookmarkStart w:id="37" w:name="page38"/>
    <w:bookmarkEnd w:id="37"/>
    <w:p>
      <w:pPr>
        <w:ind w:left="80" w:right="14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What is the expected date of completion of the spin-off?</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The completion and timing of the spin-off are dependent upon a number of conditions. It is expected that the shares of SpinCo common stock will be distributed by Middleby on or about July 6, 2026 to the holders of record of Middleby common stock as of the record date for the distribution. However, no assurance can be provided as to the timing of the spin-off or that all conditions to the spin-off will be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-796925</wp:posOffset>
            </wp:positionV>
            <wp:extent cx="7174865" cy="48196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81965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3440" w:space="720"/>
            <w:col w:w="6780"/>
          </w:cols>
          <w:pgMar w:left="460" w:top="281" w:right="49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Can Middleby decide to cancel the spin-off even if all the </w:t>
      </w:r>
      <w:r>
        <w:rPr>
          <w:rFonts w:ascii="Times New Roman" w:cs="Times New Roman" w:eastAsia="Times New Roman" w:hAnsi="Times New Roman"/>
          <w:sz w:val="18"/>
          <w:szCs w:val="18"/>
          <w:color w:val="auto"/>
        </w:rPr>
        <w:t>Yes. The spin-off will not be effective until the distribution is complete. The distribution is</w:t>
      </w:r>
    </w:p>
    <w:p>
      <w:pPr>
        <w:spacing w:after="0" w:line="29" w:lineRule="exact"/>
        <w:rPr>
          <w:sz w:val="20"/>
          <w:szCs w:val="20"/>
          <w:color w:val="auto"/>
        </w:rPr>
      </w:pPr>
    </w:p>
    <w:p>
      <w:pPr>
        <w:ind w:left="4160" w:hanging="4087"/>
        <w:spacing w:after="0" w:line="251" w:lineRule="auto"/>
        <w:tabs>
          <w:tab w:leader="none" w:pos="4140" w:val="left"/>
        </w:tabs>
        <w:rPr>
          <w:sz w:val="20"/>
          <w:szCs w:val="20"/>
          <w:color w:val="auto"/>
        </w:rPr>
      </w:pPr>
      <w:r>
        <w:rPr>
          <w:rFonts w:ascii="Times New Roman" w:cs="Times New Roman" w:eastAsia="Times New Roman" w:hAnsi="Times New Roman"/>
          <w:sz w:val="18"/>
          <w:szCs w:val="18"/>
          <w:i w:val="1"/>
          <w:iCs w:val="1"/>
          <w:color w:val="auto"/>
        </w:rPr>
        <w:t>conditions have been met?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subject to the satisfaction or waiver by Middleby of certain conditions. See “The Separation and Distribution—General—Conditions to the Distribution.” The fulfillment of such conditions will not create any obligation on behalf of Middleby to effect the spin-off, and Middleby may at any time decline to go forward with the spin-off. Until the spin-off has occurred, Middleby has the right not to complete the distribution, even if all the conditions have been satisfied, if, at any time 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w:t>
      </w:r>
    </w:p>
    <w:p>
      <w:pPr>
        <w:spacing w:after="0" w:line="96"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i w:val="1"/>
          <w:iCs w:val="1"/>
          <w:color w:val="auto"/>
        </w:rPr>
        <w:t>What if I want to sell my Middleby common stock or my</w:t>
      </w:r>
      <w:r>
        <w:rPr>
          <w:sz w:val="20"/>
          <w:szCs w:val="20"/>
          <w:color w:val="auto"/>
        </w:rPr>
        <w:tab/>
      </w:r>
      <w:r>
        <w:rPr>
          <w:rFonts w:ascii="Times New Roman" w:cs="Times New Roman" w:eastAsia="Times New Roman" w:hAnsi="Times New Roman"/>
          <w:sz w:val="17"/>
          <w:szCs w:val="17"/>
          <w:color w:val="auto"/>
        </w:rPr>
        <w:t>You should consult with your financial advisors, such as your stockbroker, bank or tax</w:t>
      </w:r>
    </w:p>
    <w:p>
      <w:pPr>
        <w:spacing w:after="0" w:line="29" w:lineRule="exact"/>
        <w:rPr>
          <w:sz w:val="20"/>
          <w:szCs w:val="20"/>
          <w:color w:val="auto"/>
        </w:rPr>
      </w:pPr>
    </w:p>
    <w:p>
      <w:pPr>
        <w:ind w:left="80"/>
        <w:spacing w:after="0"/>
        <w:tabs>
          <w:tab w:leader="none" w:pos="4140" w:val="left"/>
        </w:tabs>
        <w:rPr>
          <w:sz w:val="20"/>
          <w:szCs w:val="20"/>
          <w:color w:val="auto"/>
        </w:rPr>
      </w:pPr>
      <w:r>
        <w:rPr>
          <w:rFonts w:ascii="Times New Roman" w:cs="Times New Roman" w:eastAsia="Times New Roman" w:hAnsi="Times New Roman"/>
          <w:sz w:val="18"/>
          <w:szCs w:val="18"/>
          <w:i w:val="1"/>
          <w:iCs w:val="1"/>
          <w:color w:val="auto"/>
        </w:rPr>
        <w:t>SpinCo common stock?</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advisor.</w:t>
      </w:r>
    </w:p>
    <w:p>
      <w:pPr>
        <w:spacing w:after="0" w:line="124" w:lineRule="exact"/>
        <w:rPr>
          <w:sz w:val="20"/>
          <w:szCs w:val="20"/>
          <w:color w:val="auto"/>
        </w:rPr>
      </w:pPr>
    </w:p>
    <w:p>
      <w:pPr>
        <w:ind w:left="4160" w:right="60" w:hanging="4169"/>
        <w:spacing w:after="0" w:line="253" w:lineRule="auto"/>
        <w:tabs>
          <w:tab w:leader="none" w:pos="4140" w:val="left"/>
        </w:tabs>
        <w:rPr>
          <w:sz w:val="20"/>
          <w:szCs w:val="20"/>
          <w:color w:val="auto"/>
        </w:rPr>
      </w:pPr>
      <w:r>
        <w:rPr>
          <w:rFonts w:ascii="Times New Roman" w:cs="Times New Roman" w:eastAsia="Times New Roman" w:hAnsi="Times New Roman"/>
          <w:sz w:val="18"/>
          <w:szCs w:val="18"/>
          <w:i w:val="1"/>
          <w:iCs w:val="1"/>
          <w:color w:val="auto"/>
        </w:rPr>
        <w:t>What is “regular-way” and “ex-distribution” trading?</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Beginning on or shortly before the record date for the distribution and continuing up to and through the distribution date, it is expected that there will be two markets in Middleby common stock: a “regular-way” market and an “ex-distribution” market. Shares of Middleby common stock that trade in the “regular-way” market will trade with an entitlement to shares of SpinCo common stock distributed pursuant to the distribution. Shares that trade in the “ex-distribution” market will trade without an entitlement to shares of SpinCo common stock distributed pursuant to the distribution. Each stockholder trading in shares of Middleby common stock would make any decision as to whether to trade one or more of such stockholder’s shares of Middleby common stock in the “regular-way” market or the “ex-distribution” market.</w:t>
      </w:r>
    </w:p>
    <w:p>
      <w:pPr>
        <w:spacing w:after="0" w:line="102" w:lineRule="exact"/>
        <w:rPr>
          <w:sz w:val="20"/>
          <w:szCs w:val="20"/>
          <w:color w:val="auto"/>
        </w:rPr>
      </w:pPr>
    </w:p>
    <w:p>
      <w:pPr>
        <w:ind w:left="4160" w:right="100"/>
        <w:spacing w:after="0" w:line="261" w:lineRule="auto"/>
        <w:rPr>
          <w:sz w:val="20"/>
          <w:szCs w:val="20"/>
          <w:color w:val="auto"/>
        </w:rPr>
      </w:pPr>
      <w:r>
        <w:rPr>
          <w:rFonts w:ascii="Times New Roman" w:cs="Times New Roman" w:eastAsia="Times New Roman" w:hAnsi="Times New Roman"/>
          <w:sz w:val="18"/>
          <w:szCs w:val="18"/>
          <w:color w:val="auto"/>
        </w:rPr>
        <w:t>If you decide to sell any shares of your Middleby common stock after the record date for the distribution and before the distribution date, you should make sure your stockbroker, bank or other nominee understands whether you want to sell your Middleby common stock with or without your entitlement to SpinCo common stock pursuant to the distribution.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40"/>
          </w:cols>
          <w:pgMar w:left="460" w:top="281" w:right="499" w:bottom="1440" w:gutter="0" w:footer="0" w:header="0"/>
          <w:type w:val="continuous"/>
        </w:sectPr>
      </w:pPr>
    </w:p>
    <w:bookmarkStart w:id="38" w:name="page39"/>
    <w:bookmarkEnd w:id="38"/>
    <w:p>
      <w:pPr>
        <w:ind w:left="8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Where will I be able to trade shares of SpinCo common stock?</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0" w:right="22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What will happen to the listing of Middleby common stock?</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Times New Roman" w:cs="Times New Roman" w:eastAsia="Times New Roman" w:hAnsi="Times New Roman"/>
          <w:sz w:val="18"/>
          <w:szCs w:val="18"/>
          <w:color w:val="auto"/>
        </w:rPr>
        <w:t>SpinCo has received approval to list its common stock on Nasdaq under the symbol “MFP.” SpinCo expects that trading in shares of SpinCo common stock will begin on a “when-issued” basis shortly before the distribution date and will continue up to and through the distribution date and that “regular-way” trading in SpinCo common stock will begin on the first trading day following the distribution date. “When-issued” trading refers to a sale or purchase made conditionally because the security has been authorized but not yet issued. If trading begins on a “when-issued” basis, you may purchase or sell SpinCo common stock up to and through the distribution date, but your transaction will not settle until after the distribution date. SpinCo cannot predict the trading prices for SpinCo common stock before, on or after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-1476375</wp:posOffset>
            </wp:positionV>
            <wp:extent cx="7174865" cy="50514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051425"/>
                    </a:xfrm>
                    <a:prstGeom prst="rect">
                      <a:avLst/>
                    </a:prstGeom>
                    <a:noFill/>
                  </pic:spPr>
                </pic:pic>
              </a:graphicData>
            </a:graphic>
          </wp:anchor>
        </w:drawing>
      </w:r>
    </w:p>
    <w:p>
      <w:pPr>
        <w:spacing w:after="0" w:line="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Prior to the completion of the spin-off, Middleby will continue to trade on Nasdaq under the symbol “MIDD.” Any changes to Middleby’s name or ticker symbol will be announced separately by Middleby.</w:t>
      </w:r>
    </w:p>
    <w:p>
      <w:pPr>
        <w:spacing w:after="0" w:line="79" w:lineRule="exact"/>
        <w:rPr>
          <w:sz w:val="20"/>
          <w:szCs w:val="20"/>
          <w:color w:val="auto"/>
        </w:rPr>
      </w:pPr>
    </w:p>
    <w:p>
      <w:pPr>
        <w:sectPr>
          <w:pgSz w:w="11900" w:h="16838" w:orient="portrait"/>
          <w:cols w:equalWidth="0" w:num="2">
            <w:col w:w="3980" w:space="180"/>
            <w:col w:w="6820"/>
          </w:cols>
          <w:pgMar w:left="460" w:top="281" w:right="459" w:bottom="1440" w:gutter="0" w:footer="0" w:header="0"/>
        </w:sectPr>
      </w:pPr>
    </w:p>
    <w:p>
      <w:pPr>
        <w:spacing w:after="0"/>
        <w:rPr>
          <w:sz w:val="20"/>
          <w:szCs w:val="20"/>
          <w:color w:val="auto"/>
        </w:rPr>
      </w:pPr>
      <w:r>
        <w:rPr>
          <w:rFonts w:ascii="Times New Roman" w:cs="Times New Roman" w:eastAsia="Times New Roman" w:hAnsi="Times New Roman"/>
          <w:sz w:val="17"/>
          <w:szCs w:val="17"/>
          <w:i w:val="1"/>
          <w:iCs w:val="1"/>
          <w:color w:val="auto"/>
        </w:rPr>
        <w:t xml:space="preserve">Will the number of shares of Middleby common stock that </w:t>
      </w:r>
      <w:r>
        <w:rPr>
          <w:rFonts w:ascii="Times New Roman" w:cs="Times New Roman" w:eastAsia="Times New Roman" w:hAnsi="Times New Roman"/>
          <w:sz w:val="17"/>
          <w:szCs w:val="17"/>
          <w:color w:val="auto"/>
        </w:rPr>
        <w:t>No. The number of shares of Middleby common stock that you own will not change as a result</w:t>
      </w:r>
    </w:p>
    <w:p>
      <w:pPr>
        <w:spacing w:after="0" w:line="41" w:lineRule="exact"/>
        <w:rPr>
          <w:sz w:val="20"/>
          <w:szCs w:val="20"/>
          <w:color w:val="auto"/>
        </w:rPr>
      </w:pPr>
    </w:p>
    <w:p>
      <w:pPr>
        <w:ind w:left="80"/>
        <w:spacing w:after="0"/>
        <w:tabs>
          <w:tab w:leader="none" w:pos="4140" w:val="left"/>
        </w:tabs>
        <w:rPr>
          <w:sz w:val="20"/>
          <w:szCs w:val="20"/>
          <w:color w:val="auto"/>
        </w:rPr>
      </w:pPr>
      <w:r>
        <w:rPr>
          <w:rFonts w:ascii="Times New Roman" w:cs="Times New Roman" w:eastAsia="Times New Roman" w:hAnsi="Times New Roman"/>
          <w:sz w:val="18"/>
          <w:szCs w:val="18"/>
          <w:i w:val="1"/>
          <w:iCs w:val="1"/>
          <w:color w:val="auto"/>
        </w:rPr>
        <w:t>I own change as a result of the distribution?</w:t>
      </w:r>
      <w:r>
        <w:rPr>
          <w:sz w:val="20"/>
          <w:szCs w:val="20"/>
          <w:color w:val="auto"/>
        </w:rPr>
        <w:tab/>
      </w:r>
      <w:r>
        <w:rPr>
          <w:rFonts w:ascii="Times New Roman" w:cs="Times New Roman" w:eastAsia="Times New Roman" w:hAnsi="Times New Roman"/>
          <w:sz w:val="18"/>
          <w:szCs w:val="18"/>
          <w:color w:val="auto"/>
        </w:rPr>
        <w:t>of the distribution.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What are the U.S. federal income tax consequences of the </w:t>
      </w:r>
      <w:r>
        <w:rPr>
          <w:rFonts w:ascii="Times New Roman" w:cs="Times New Roman" w:eastAsia="Times New Roman" w:hAnsi="Times New Roman"/>
          <w:sz w:val="18"/>
          <w:szCs w:val="18"/>
          <w:color w:val="auto"/>
        </w:rPr>
        <w:t>It is a condition to the completion of the distribution that Middleby receives the Tax Opinion,</w:t>
      </w:r>
    </w:p>
    <w:p>
      <w:pPr>
        <w:spacing w:after="0" w:line="29" w:lineRule="exact"/>
        <w:rPr>
          <w:sz w:val="20"/>
          <w:szCs w:val="20"/>
          <w:color w:val="auto"/>
        </w:rPr>
      </w:pPr>
    </w:p>
    <w:p>
      <w:pPr>
        <w:ind w:left="4160" w:right="520" w:hanging="4087"/>
        <w:spacing w:after="0" w:line="255" w:lineRule="auto"/>
        <w:tabs>
          <w:tab w:leader="none" w:pos="4140" w:val="left"/>
        </w:tabs>
        <w:rPr>
          <w:sz w:val="20"/>
          <w:szCs w:val="20"/>
          <w:color w:val="auto"/>
        </w:rPr>
      </w:pPr>
      <w:r>
        <w:rPr>
          <w:rFonts w:ascii="Times New Roman" w:cs="Times New Roman" w:eastAsia="Times New Roman" w:hAnsi="Times New Roman"/>
          <w:sz w:val="18"/>
          <w:szCs w:val="18"/>
          <w:i w:val="1"/>
          <w:iCs w:val="1"/>
          <w:color w:val="auto"/>
        </w:rPr>
        <w:t>separation and distribution?</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substantially to the effect that, among other things, the distribution will qualify for the Intended Tax Treatment, although this condition may be waived by Middleby in its sole discretion.</w:t>
      </w:r>
    </w:p>
    <w:p>
      <w:pPr>
        <w:sectPr>
          <w:pgSz w:w="11900" w:h="16838" w:orient="portrait"/>
          <w:cols w:equalWidth="0" w:num="1">
            <w:col w:w="10980"/>
          </w:cols>
          <w:pgMar w:left="460" w:top="28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0" w:hanging="81"/>
        <w:spacing w:after="0" w:line="284" w:lineRule="auto"/>
        <w:rPr>
          <w:sz w:val="20"/>
          <w:szCs w:val="20"/>
          <w:color w:val="auto"/>
        </w:rPr>
      </w:pPr>
      <w:r>
        <w:rPr>
          <w:rFonts w:ascii="Times New Roman" w:cs="Times New Roman" w:eastAsia="Times New Roman" w:hAnsi="Times New Roman"/>
          <w:sz w:val="18"/>
          <w:szCs w:val="18"/>
          <w:i w:val="1"/>
          <w:iCs w:val="1"/>
          <w:color w:val="auto"/>
        </w:rPr>
        <w:t>How will I determine my tax basis in the SpinCo shares I receive in the distribution?</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Accordingly, and so long as the distribution qualifies for the Intended Tax Treatment, no gain or loss will be recognized by you for U.S. federal income tax purposes, and no amount will be included in your income, for U.S. federal income tax purposes, upon the receipt of shares of SpinCo common stock pursuant to the distribution.</w:t>
      </w:r>
    </w:p>
    <w:p>
      <w:pPr>
        <w:spacing w:after="0" w:line="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 potential U.S. federal income tax consequences of the spin-off to SpinCo, Middleby and to you, see the section of this information statement entitled “Material U.S. Federal Income Tax Consequences of the Distribution.”</w:t>
      </w:r>
    </w:p>
    <w:p>
      <w:pPr>
        <w:spacing w:after="0" w:line="8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You should consult your tax advisor as to the particular consequences of the spin-off to you, including the applicability and effect of any U.S. federal, state and local, and any foreign tax laws.</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Assuming that the distribution is tax-free to Middleby stockholders for U.S. federal income tax purposes, your aggregate tax basis in your shares of Middleby common stock held by you immediately prior to</w:t>
      </w:r>
    </w:p>
    <w:p>
      <w:pPr>
        <w:spacing w:after="0" w:line="122" w:lineRule="exact"/>
        <w:rPr>
          <w:sz w:val="20"/>
          <w:szCs w:val="20"/>
          <w:color w:val="auto"/>
        </w:rPr>
      </w:pPr>
    </w:p>
    <w:p>
      <w:pPr>
        <w:sectPr>
          <w:pgSz w:w="11900" w:h="16838" w:orient="portrait"/>
          <w:cols w:equalWidth="0" w:num="2">
            <w:col w:w="4080" w:space="80"/>
            <w:col w:w="6820"/>
          </w:cols>
          <w:pgMar w:left="460" w:top="281" w:right="4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60" w:top="281" w:right="459" w:bottom="1440" w:gutter="0" w:footer="0" w:header="0"/>
          <w:type w:val="continuous"/>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What will SpinCo’s relationship be with Middleby following the spin-off?</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ind w:right="40"/>
        <w:spacing w:after="0" w:line="256" w:lineRule="auto"/>
        <w:rPr>
          <w:sz w:val="20"/>
          <w:szCs w:val="20"/>
          <w:color w:val="auto"/>
        </w:rPr>
      </w:pPr>
      <w:r>
        <w:rPr>
          <w:rFonts w:ascii="Times New Roman" w:cs="Times New Roman" w:eastAsia="Times New Roman" w:hAnsi="Times New Roman"/>
          <w:sz w:val="18"/>
          <w:szCs w:val="18"/>
          <w:color w:val="auto"/>
        </w:rPr>
        <w:t>the distribution will be allocated between your shares of Middleby common stock and the shares of SpinCo common stock that you receive in the distribution in proportion to the relative fair market values of each immediately following the distribution. Middleby will provide its stockholders with information to enable them to compute their tax basis in both shares of Middleby common stock and shares of SpinCo common stock. This information will be posted on Middleby’s website following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-931545</wp:posOffset>
            </wp:positionV>
            <wp:extent cx="7174865" cy="53340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334000"/>
                    </a:xfrm>
                    <a:prstGeom prst="rect">
                      <a:avLst/>
                    </a:prstGeom>
                    <a:noFill/>
                  </pic:spPr>
                </pic:pic>
              </a:graphicData>
            </a:graphic>
          </wp:anchor>
        </w:drawing>
      </w:r>
    </w:p>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You should consult your tax advisor about the particular consequences of the spin-off to you, including a situation where you have purchased shares at different times or for different amounts and the application of state, local and foreign tax laws.</w:t>
      </w:r>
    </w:p>
    <w:p>
      <w:pPr>
        <w:spacing w:after="0" w:line="8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see the section of this information statement entitled “Material U.S. Federal Income Tax Consequences of the Distribution.”</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Following the completion of the spin-off, Middleby and SpinCo will be independent companies. Middleby will not retain any SpinCo common stock following the distribution, and we expect that the relationship between Middleby and SpinCo will be governed by the ancillary agreements. These agreements will provide for the allocation between SpinCo and Middleby of Middleby’s and SpinCo’s assets, employees, liabilities and obligations (including employee benefits and tax-related assets and liabilities) attributable to periods prior to, at and after the spin-off. For additional information regarding these agreements, see the sections of this information statement entitled “Risk Factors—Risks Related to the Spin-Off” and “Certain Relationships and Related Transactions.”</w:t>
      </w:r>
    </w:p>
    <w:p>
      <w:pPr>
        <w:spacing w:after="0" w:line="92" w:lineRule="exact"/>
        <w:rPr>
          <w:sz w:val="20"/>
          <w:szCs w:val="20"/>
          <w:color w:val="auto"/>
        </w:rPr>
      </w:pPr>
    </w:p>
    <w:p>
      <w:pPr>
        <w:sectPr>
          <w:pgSz w:w="11900" w:h="16838" w:orient="portrait"/>
          <w:cols w:equalWidth="0" w:num="2">
            <w:col w:w="3580" w:space="600"/>
            <w:col w:w="6840"/>
          </w:cols>
          <w:pgMar w:left="440" w:top="283" w:right="439" w:bottom="1440" w:gutter="0" w:footer="0" w:header="0"/>
        </w:sectPr>
      </w:pPr>
    </w:p>
    <w:p>
      <w:pPr>
        <w:ind w:left="100" w:right="40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Will I have appraisal rights in connection with the distribution?</w:t>
      </w:r>
      <w:r>
        <w:rPr>
          <w:rFonts w:ascii="Times New Roman" w:cs="Times New Roman" w:eastAsia="Times New Roman" w:hAnsi="Times New Roman"/>
          <w:sz w:val="18"/>
          <w:szCs w:val="18"/>
          <w:color w:val="auto"/>
        </w:rPr>
        <w:t xml:space="preserve"> </w:t>
      </w:r>
    </w:p>
    <w:p>
      <w:pPr>
        <w:spacing w:after="0" w:line="77" w:lineRule="exact"/>
        <w:rPr>
          <w:sz w:val="20"/>
          <w:szCs w:val="20"/>
          <w:color w:val="auto"/>
        </w:rPr>
      </w:pPr>
    </w:p>
    <w:p>
      <w:pPr>
        <w:ind w:left="100" w:hanging="81"/>
        <w:spacing w:after="0" w:line="284" w:lineRule="auto"/>
        <w:rPr>
          <w:sz w:val="20"/>
          <w:szCs w:val="20"/>
          <w:color w:val="auto"/>
        </w:rPr>
      </w:pPr>
      <w:r>
        <w:rPr>
          <w:rFonts w:ascii="Times New Roman" w:cs="Times New Roman" w:eastAsia="Times New Roman" w:hAnsi="Times New Roman"/>
          <w:sz w:val="18"/>
          <w:szCs w:val="18"/>
          <w:i w:val="1"/>
          <w:iCs w:val="1"/>
          <w:color w:val="auto"/>
        </w:rPr>
        <w:t>Are there risks associated with owning SpinCo common stock?</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No. Holders of Middleby common stock are not entitled to appraisal rights in connection with the distribution.</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Yes. Ownership of SpinCo common stock is subject to both general and specific risks relating to SpinCo’s business, the industry in which it operates, its ongoing contractual relationships with Middleby and its status as a separate, publicly traded company. Ownership of SpinCo common stock is also subject to risks relating to the spin-off, including that following the spin-off, SpinCo’s business will be less diversified than Middleby’s business prior to the spin-off. These risks are described in the section of this information statement entitled “Risk Factors.” You are encouraged to read that section carefully.</w:t>
      </w:r>
    </w:p>
    <w:p>
      <w:pPr>
        <w:spacing w:after="0" w:line="92" w:lineRule="exact"/>
        <w:rPr>
          <w:sz w:val="20"/>
          <w:szCs w:val="20"/>
          <w:color w:val="auto"/>
        </w:rPr>
      </w:pPr>
    </w:p>
    <w:p>
      <w:pPr>
        <w:sectPr>
          <w:pgSz w:w="11900" w:h="16838" w:orient="portrait"/>
          <w:cols w:equalWidth="0" w:num="2">
            <w:col w:w="4020" w:space="160"/>
            <w:col w:w="6840"/>
          </w:cols>
          <w:pgMar w:left="440" w:top="283" w:right="4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Who will manage SpinCo after the spin-off?</w:t>
            </w:r>
            <w:r>
              <w:rPr>
                <w:rFonts w:ascii="Times New Roman" w:cs="Times New Roman" w:eastAsia="Times New Roman" w:hAnsi="Times New Roman"/>
                <w:sz w:val="18"/>
                <w:szCs w:val="18"/>
                <w:color w:val="auto"/>
              </w:rPr>
              <w:t xml:space="preserve"> </w:t>
            </w:r>
          </w:p>
        </w:tc>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Following the spin-off, SpinCo will be led by Mark M. Salman, who will be SpinCo’s Chief</w:t>
            </w:r>
          </w:p>
        </w:tc>
      </w:tr>
      <w:tr>
        <w:trPr>
          <w:trHeight w:val="234"/>
        </w:trPr>
        <w:tc>
          <w:tcPr>
            <w:tcW w:w="3700" w:type="dxa"/>
            <w:vAlign w:val="bottom"/>
          </w:tcPr>
          <w:p>
            <w:pPr>
              <w:spacing w:after="0"/>
              <w:rPr>
                <w:sz w:val="20"/>
                <w:szCs w:val="20"/>
                <w:color w:val="auto"/>
              </w:rPr>
            </w:pPr>
          </w:p>
        </w:tc>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319"/>
        </w:trPr>
        <w:tc>
          <w:tcPr>
            <w:tcW w:w="3700" w:type="dxa"/>
            <w:vAlign w:val="bottom"/>
          </w:tcPr>
          <w:p>
            <w:pPr>
              <w:spacing w:after="0"/>
              <w:rPr>
                <w:sz w:val="24"/>
                <w:szCs w:val="24"/>
                <w:color w:val="auto"/>
              </w:rPr>
            </w:pPr>
          </w:p>
        </w:tc>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 more information regarding SpinCo’s expected named executive officers and other</w:t>
            </w:r>
          </w:p>
        </w:tc>
      </w:tr>
      <w:tr>
        <w:trPr>
          <w:trHeight w:val="216"/>
        </w:trPr>
        <w:tc>
          <w:tcPr>
            <w:tcW w:w="3700" w:type="dxa"/>
            <w:vAlign w:val="bottom"/>
          </w:tcPr>
          <w:p>
            <w:pPr>
              <w:spacing w:after="0"/>
              <w:rPr>
                <w:sz w:val="18"/>
                <w:szCs w:val="18"/>
                <w:color w:val="auto"/>
              </w:rPr>
            </w:pPr>
          </w:p>
        </w:tc>
        <w:tc>
          <w:tcPr>
            <w:tcW w:w="7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members of its management team, see the section of this information statement entitled</w:t>
            </w:r>
          </w:p>
        </w:tc>
      </w:tr>
      <w:tr>
        <w:trPr>
          <w:trHeight w:val="231"/>
        </w:trPr>
        <w:tc>
          <w:tcPr>
            <w:tcW w:w="370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“Management.”</w:t>
            </w:r>
          </w:p>
        </w:tc>
      </w:tr>
      <w:tr>
        <w:trPr>
          <w:trHeight w:val="361"/>
        </w:trPr>
        <w:tc>
          <w:tcPr>
            <w:tcW w:w="3700" w:type="dxa"/>
            <w:vAlign w:val="bottom"/>
          </w:tcPr>
          <w:p>
            <w:pPr>
              <w:spacing w:after="0"/>
              <w:rPr>
                <w:sz w:val="24"/>
                <w:szCs w:val="24"/>
                <w:color w:val="auto"/>
              </w:rPr>
            </w:pPr>
          </w:p>
        </w:tc>
        <w:tc>
          <w:tcPr>
            <w:tcW w:w="73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020"/>
          </w:cols>
          <w:pgMar w:left="440" w:top="283" w:right="439" w:bottom="1440" w:gutter="0" w:footer="0" w:header="0"/>
          <w:type w:val="continuous"/>
        </w:sectPr>
      </w:pPr>
    </w:p>
    <w:bookmarkStart w:id="40" w:name="page41"/>
    <w:bookmarkEnd w:id="40"/>
    <w:p>
      <w:pPr>
        <w:ind w:right="6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What will SpinCo’s dividend policy be after the spin-off?</w:t>
      </w: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What will happen to Middleby equity awards in connection with the spin-off?</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We do not currently intend to pay any cash dividends in the foreseeable future. We currently intend to retain all available funds and future earnings, if any, for the operation of our business and to strengthen our financial position and flexibility. The payment of any cash dividends in the future will be at the discretion of the SpinCo Board and will depend upon our results of operations, earnings, capital requirements and general financial condition, as well as applicable law, regulatory constraints, industry practice and other factors deemed relevant by the SpinCo Board. In addition, the terms governing our current or future debt may also limit or prohibit dividend payments. Accordingly, we cannot guarantee that we will ever pay dividends in the future or that we would continue to pay any dividends that we may commence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-1476375</wp:posOffset>
            </wp:positionV>
            <wp:extent cx="7174865" cy="4733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733925"/>
                    </a:xfrm>
                    <a:prstGeom prst="rect">
                      <a:avLst/>
                    </a:prstGeom>
                    <a:noFill/>
                  </pic:spPr>
                </pic:pic>
              </a:graphicData>
            </a:graphic>
          </wp:anchor>
        </w:drawing>
      </w:r>
    </w:p>
    <w:p>
      <w:pPr>
        <w:spacing w:after="0" w:line="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under Delaware law, the SpinCo Board may declare dividends only to the extent of our surplus (which is defined as total assets at fair market value, minus total liabilities, minus statutory capital) or, if there is no surplus, out of our net profits for the then-current and/or immediately preceding fiscal year. For more information regarding SpinCo’s dividend policy, see the section of this information statement entitled “Dividend Policy.”</w:t>
      </w:r>
    </w:p>
    <w:p>
      <w:pPr>
        <w:spacing w:after="0" w:line="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equity awards relating to shares of Middleby common stock that are outstanding at the time of distribution will be adjusted to reflect the impact of the separation. Middleby RSU and PSU awards outstanding and held by SpinCo employees, former employees and non-employee directors (if any) immediately prior to the spin-off will be converted into RSU and PSU awards (as applicable) denominated in shares of SpinCo common stock, such number of shares to be determined using a conversion ratio intended to preserve the intrinsic value of the awards. Middleby RSU and PSU awards outstanding and held by Middleby employees, former employees and non-employee directors immediately prior to the spin-off will be converted into adjusted Middleby RSU and PSU awards (as applicable), continuing to be denominated in shares of Middleby common stock, such adjusted number of Middleby shares to be determined using a conversion ratio intended to preserve the intrinsic value of the awards. In either case of SpinCo and Middleby PSU awards, the SpinCo or Middleby Board (or respective applicable committee thereof), as applicable, will adjust the performance measures applicable to any PSU awards relating to their respective entity.</w:t>
      </w:r>
    </w:p>
    <w:p>
      <w:pPr>
        <w:spacing w:after="0" w:line="1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further discussion of the treatment of equity awards in relation to the spin-off, see the section of this information statement entitled “Certain Relationships and Related Transactions —Material Agreements with Middleby—Employee Matters Agreement.”</w:t>
      </w:r>
    </w:p>
    <w:p>
      <w:pPr>
        <w:spacing w:after="0" w:line="122" w:lineRule="exact"/>
        <w:rPr>
          <w:sz w:val="20"/>
          <w:szCs w:val="20"/>
          <w:color w:val="auto"/>
        </w:rPr>
      </w:pPr>
    </w:p>
    <w:p>
      <w:pPr>
        <w:sectPr>
          <w:pgSz w:w="11900" w:h="16838" w:orient="portrait"/>
          <w:cols w:equalWidth="0" w:num="2">
            <w:col w:w="3360" w:space="720"/>
            <w:col w:w="6800"/>
          </w:cols>
          <w:pgMar w:left="540" w:top="281" w:right="479" w:bottom="1440" w:gutter="0" w:footer="0" w:header="0"/>
        </w:sect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880"/>
          </w:cols>
          <w:pgMar w:left="540" w:top="281" w:right="479" w:bottom="1440" w:gutter="0" w:footer="0" w:header="0"/>
          <w:type w:val="continuous"/>
        </w:sectPr>
      </w:pPr>
    </w:p>
    <w:bookmarkStart w:id="41" w:name="page42"/>
    <w:bookmarkEnd w:id="41"/>
    <w:p>
      <w:pPr>
        <w:ind w:left="8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Will the distribution of SpinCo common stock affect the market price of Middleby common stock?</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Times New Roman" w:cs="Times New Roman" w:eastAsia="Times New Roman" w:hAnsi="Times New Roman"/>
          <w:sz w:val="18"/>
          <w:szCs w:val="18"/>
          <w:color w:val="auto"/>
        </w:rPr>
        <w:t>As a result of the distribution, we expect the trading price of shares of Middleby common stock to be different from the trading price of Middleby common stock immediately prior to the distribution because the trading price will no longer reflect the combined value of the businesses. Furthermore, until the market has fully analyzed the value of Middleby without the business comprising SpinCo, the price of shares of Middleby common stock may fluctuate. There can be no assurance that, following the spin-off, the combined value of Middleby common stock and SpinCo common stock will equal or exceed what the value of Middleby common stock would have been as of the same time and date in the absence of the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-1342390</wp:posOffset>
            </wp:positionV>
            <wp:extent cx="7174865" cy="51796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79695"/>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3960" w:space="200"/>
            <w:col w:w="6760"/>
          </w:cols>
          <w:pgMar w:left="460" w:top="281" w:right="519" w:bottom="1440" w:gutter="0" w:footer="0" w:header="0"/>
        </w:sectPr>
      </w:pPr>
    </w:p>
    <w:p>
      <w:pPr>
        <w:ind w:left="8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Will SpinCo incur any debt prior to or at the time of the distribution?</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ind w:right="320"/>
        <w:spacing w:after="0" w:line="289" w:lineRule="auto"/>
        <w:rPr>
          <w:sz w:val="20"/>
          <w:szCs w:val="20"/>
          <w:color w:val="auto"/>
        </w:rPr>
      </w:pPr>
      <w:r>
        <w:rPr>
          <w:rFonts w:ascii="Times New Roman" w:cs="Times New Roman" w:eastAsia="Times New Roman" w:hAnsi="Times New Roman"/>
          <w:sz w:val="17"/>
          <w:szCs w:val="17"/>
          <w:color w:val="auto"/>
        </w:rPr>
        <w:t>SpinCo expects to enter into certain financing arrangements prior to or substantially concurrent with the spin-off. However, no assurance can be given whether such financing arrangements will occur in the anticipated time frame or on favorable terms, or at all.</w:t>
      </w:r>
    </w:p>
    <w:p>
      <w:pPr>
        <w:spacing w:after="0" w:line="61" w:lineRule="exact"/>
        <w:rPr>
          <w:sz w:val="20"/>
          <w:szCs w:val="20"/>
          <w:color w:val="auto"/>
        </w:rPr>
      </w:pPr>
    </w:p>
    <w:p>
      <w:pPr>
        <w:sectPr>
          <w:pgSz w:w="11900" w:h="16838" w:orient="portrait"/>
          <w:cols w:equalWidth="0" w:num="2">
            <w:col w:w="4000" w:space="160"/>
            <w:col w:w="6760"/>
          </w:cols>
          <w:pgMar w:left="460" w:top="281" w:right="519" w:bottom="1440" w:gutter="0" w:footer="0" w:header="0"/>
          <w:type w:val="continuous"/>
        </w:sectPr>
      </w:pPr>
    </w:p>
    <w:p>
      <w:pPr>
        <w:ind w:left="80" w:hanging="81"/>
        <w:spacing w:after="0" w:line="284" w:lineRule="auto"/>
        <w:rPr>
          <w:sz w:val="20"/>
          <w:szCs w:val="20"/>
          <w:color w:val="auto"/>
        </w:rPr>
      </w:pPr>
      <w:r>
        <w:rPr>
          <w:rFonts w:ascii="Times New Roman" w:cs="Times New Roman" w:eastAsia="Times New Roman" w:hAnsi="Times New Roman"/>
          <w:sz w:val="18"/>
          <w:szCs w:val="18"/>
          <w:i w:val="1"/>
          <w:iCs w:val="1"/>
          <w:color w:val="auto"/>
        </w:rPr>
        <w:t>Who will be the distribution agent, transfer agent and registrar for SpinCo common stock?</w:t>
      </w:r>
    </w:p>
    <w:p>
      <w:pPr>
        <w:spacing w:after="0" w:line="20" w:lineRule="exact"/>
        <w:rPr>
          <w:sz w:val="20"/>
          <w:szCs w:val="20"/>
          <w:color w:val="auto"/>
        </w:rPr>
      </w:pPr>
      <w:r>
        <w:rPr>
          <w:sz w:val="20"/>
          <w:szCs w:val="20"/>
          <w:color w:val="auto"/>
        </w:rPr>
        <w:br w:type="column"/>
      </w:r>
    </w:p>
    <w:p>
      <w:pPr>
        <w:ind w:right="160"/>
        <w:spacing w:after="0" w:line="266" w:lineRule="auto"/>
        <w:rPr>
          <w:sz w:val="20"/>
          <w:szCs w:val="20"/>
          <w:color w:val="auto"/>
        </w:rPr>
      </w:pPr>
      <w:r>
        <w:rPr>
          <w:rFonts w:ascii="Times New Roman" w:cs="Times New Roman" w:eastAsia="Times New Roman" w:hAnsi="Times New Roman"/>
          <w:sz w:val="18"/>
          <w:szCs w:val="18"/>
          <w:color w:val="auto"/>
        </w:rPr>
        <w:t>The distribution agent, transfer agent and registrar for SpinCo common stock will be Computershare. For questions relating to the transfer or mechanics of the stock distribution, you should contact Computershare’s toll free number at (800) 522-6645.</w:t>
      </w:r>
    </w:p>
    <w:p>
      <w:pPr>
        <w:spacing w:after="0" w:line="79" w:lineRule="exact"/>
        <w:rPr>
          <w:sz w:val="20"/>
          <w:szCs w:val="20"/>
          <w:color w:val="auto"/>
        </w:rPr>
      </w:pPr>
    </w:p>
    <w:p>
      <w:pPr>
        <w:sectPr>
          <w:pgSz w:w="11900" w:h="16838" w:orient="portrait"/>
          <w:cols w:equalWidth="0" w:num="2">
            <w:col w:w="3860" w:space="300"/>
            <w:col w:w="6760"/>
          </w:cols>
          <w:pgMar w:left="460" w:top="281" w:right="519" w:bottom="1440" w:gutter="0" w:footer="0" w:header="0"/>
          <w:type w:val="continuous"/>
        </w:sectPr>
      </w:pPr>
    </w:p>
    <w:p>
      <w:pPr>
        <w:spacing w:after="0"/>
        <w:tabs>
          <w:tab w:leader="none" w:pos="4140" w:val="left"/>
        </w:tabs>
        <w:rPr>
          <w:sz w:val="20"/>
          <w:szCs w:val="20"/>
          <w:color w:val="auto"/>
        </w:rPr>
      </w:pPr>
      <w:r>
        <w:rPr>
          <w:rFonts w:ascii="Times New Roman" w:cs="Times New Roman" w:eastAsia="Times New Roman" w:hAnsi="Times New Roman"/>
          <w:sz w:val="18"/>
          <w:szCs w:val="18"/>
          <w:i w:val="1"/>
          <w:iCs w:val="1"/>
          <w:color w:val="auto"/>
        </w:rPr>
        <w:t>Where can I find more information about Middleby and</w:t>
      </w:r>
      <w:r>
        <w:rPr>
          <w:sz w:val="20"/>
          <w:szCs w:val="20"/>
          <w:color w:val="auto"/>
        </w:rPr>
        <w:tab/>
      </w:r>
      <w:r>
        <w:rPr>
          <w:rFonts w:ascii="Times New Roman" w:cs="Times New Roman" w:eastAsia="Times New Roman" w:hAnsi="Times New Roman"/>
          <w:sz w:val="17"/>
          <w:szCs w:val="17"/>
          <w:color w:val="auto"/>
        </w:rPr>
        <w:t>If you have any questions relating to Middleby, you should contact:</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SpinCo?</w:t>
      </w:r>
      <w:r>
        <w:rPr>
          <w:rFonts w:ascii="Times New Roman" w:cs="Times New Roman" w:eastAsia="Times New Roman" w:hAnsi="Times New Roman"/>
          <w:sz w:val="18"/>
          <w:szCs w:val="18"/>
          <w:color w:val="auto"/>
        </w:rPr>
        <w:t xml:space="preserve"> </w:t>
      </w:r>
    </w:p>
    <w:p>
      <w:pPr>
        <w:spacing w:after="0" w:line="1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The Middleby Corporation</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1400 Toastmaster Drive</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Elgin, Illinois 60120</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Telephone: (847) 741-3300</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Website: https://investors.middleby.com</w:t>
      </w:r>
    </w:p>
    <w:p>
      <w:pPr>
        <w:spacing w:after="0" w:line="112" w:lineRule="exact"/>
        <w:rPr>
          <w:sz w:val="20"/>
          <w:szCs w:val="20"/>
          <w:color w:val="auto"/>
        </w:rPr>
      </w:pPr>
    </w:p>
    <w:p>
      <w:pPr>
        <w:ind w:left="4160"/>
        <w:spacing w:after="0" w:line="266" w:lineRule="auto"/>
        <w:rPr>
          <w:sz w:val="20"/>
          <w:szCs w:val="20"/>
          <w:color w:val="auto"/>
        </w:rPr>
      </w:pPr>
      <w:r>
        <w:rPr>
          <w:rFonts w:ascii="Times New Roman" w:cs="Times New Roman" w:eastAsia="Times New Roman" w:hAnsi="Times New Roman"/>
          <w:sz w:val="18"/>
          <w:szCs w:val="18"/>
          <w:color w:val="auto"/>
        </w:rPr>
        <w:t>After the distribution, SpinCo stockholders who have any questions relating to SpinCo should contact SpinCo through any means set forth below, or at the phone numbers or email addresses posted on our website, www.midera.com.</w:t>
      </w:r>
    </w:p>
    <w:p>
      <w:pPr>
        <w:spacing w:after="0" w:line="18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Midera Food Processing, Inc.</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10275 West Higgins Road,</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Rosemont, Illinois 60018</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Telephone: (847) 857-6696</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Website: www.midera.com</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460" w:top="281" w:right="51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The risks and uncertainties described below could materially and adversely impact our business, financial condition, results of operations, cash flows and prospects, could cause actual results to differ materially from our expectations, and could cause the market value of our stock to decline. You should consider these risk factors when evaluating us and SpinCo common stock and when reading the rest of this information statement, including the sections entitled “Business” and “Management’s Discussion and Analysis of Financial Condition and Results of Operations” and our financial statements and related notes included elsewhere in this document. These risk factors may not include all of the important factors that could affect our business or our industry or that could cause our future financial results to differ materially from historic or expected results or cause the market price of SpinCo common stock to fluctuate or decline. Additional risks and uncertainties not currently known to us or that we currently believe are immaterial also may impair our business, financial condition, results of operations, cash flows and prospects.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Risks</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economic conditions could materially adversely affect our business, financial condition, results of operations, cash flows and prospects.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SpinCo’s operating results are impacted by the health of the North American, European, Middle Eastern, Asian and Latin American economies. SpinCo’s business and financial performance, including collection of its accounts receivable, may be materially adversely affected by current and future economic conditions that may cause a decline in business and consumer spending, a reduction in the availability of credit and decreased growth of its existing customers, resulting in customers electing to delay the replacement of aging equipment. Higher energy costs, fluctuating interest rates, financial market volatility, inflation, recession, global hostilities and acts of terrorism, tariffs or changes in tariff policies have and may in the future also adversely affect SpinCo’s business and financial performance. For example, recent significant trade policy and tariff actions by the U.S. government and many other countries have created significant uncertainty and potential risks for SpinCo. The tariffs imposed to date have increased the cost of certain raw materials and components. There can be no assurance of SpinCo’s ability to offset the impact of these tariffs, fully or at all. Furthermore, the imposition of retaliatory tariffs from other countries on SpinCo’s exported products could negatively affect demand and future sales volumes. The long-term effects of current and future tariffs and any future trade policy changes on the global economy and the industries in which the company operates remain uncertain and could have a material adverse effect on our business, results of operations or financial condition. Furthermore, SpinCo may experience difficulties in scaling its operations due to economic pressures in the U.S. and international markets.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currency fluctuations and other risks from our operations outside the United States.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SpinCo has manufacturing and distribution operations located in Asia, Europe and Latin America. SpinCo’s operations are subject to the impact of economic downturns, political instability and foreign trade restrictions, which may adversely affect SpinCo’s business, financial condition and operating results. SpinCo anticipates that international sales will continue to account for a significant portion of consolidated net sales in the foreseeable future. Some sales and operating costs of SpinCo’s foreign operations are realized in local currencies, and an increase in the relative value of the U.S. dollar against such currencies would lead to a reduction in consolidated sales and earnings. Additionally, foreign currency exposures are not fully hedged, and there can be no assurance that SpinCo’s future results of operations will not be adversely affected by currency fluctuations. Furthermore, currency fluctuations may affect the prices paid to SpinCo’s suppliers for materials SpinCo uses in production. As a result, operating margins may also be negatively impacted by worldwide currency fluctuations that result in higher costs for certain cross-border transactions.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6"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and Operational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level of indebtedness could adversely affect our business, financial condition, results of operations, cash flows and prospects.</w:t>
      </w:r>
    </w:p>
    <w:p>
      <w:pPr>
        <w:spacing w:after="0" w:line="12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SpinCo expects to incur and utilize debt financing in its capital structure, and in the future, SpinCo may incur additional debt. The amount of debt may be substantial and may be on terms less favorable to us than those historically provided to Middleby. To the extent SpinCo requires additional capital resources, there can be no assurance that such funds will be available on favorable terms, or at all. The unavailability of funds could have a material adverse effect on SpinCo’s financial condition, results of operations and ability to expand SpinCo’s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SpinCo’s level of indebtedness could have adverse consequences to its business and operations, including the following:</w:t>
      </w:r>
    </w:p>
    <w:p>
      <w:pPr>
        <w:spacing w:after="0" w:line="131" w:lineRule="exact"/>
        <w:rPr>
          <w:sz w:val="20"/>
          <w:szCs w:val="20"/>
          <w:color w:val="auto"/>
        </w:rPr>
      </w:pPr>
    </w:p>
    <w:p>
      <w:pPr>
        <w:ind w:left="96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may be unable to obtain additional financing for working capital, capital expenditures, product development, acquisitions and other general corporate purposes;</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SpinCo’s cash flow from operations may be dedicated to debt service, which reduces the amount of cash SpinCo has available for other purposes;</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may be more vulnerable in the event of a downturn in SpinCo’s business or general economic and industry conditions and have limited flexibility in planning for, or reacting to, changes in its business and/or industry;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may be disadvantaged compared to its competitors that are less leveraged and thereby have greater financial flexibility;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may be restricted in its ability to make strategic acquisitions and to pursue new business opportunities.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interest rates could adversely affect our results of operations and financial position.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SpinCo’s profitability has been and may in the future be adversely affected during any periods of unexpected or rapid increases in interest rates. A significant increase in any of the forgoing rates would significantly increase SpinCo’s cost of borrowings, reduce the availability and increase the cost of obtaining new debt and refinancing existing indebtedness and/or negatively impact the market price of SpinCo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indefinite life intangibles, which could suffer losses due to asset impairment charges.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SpinCo’s balance sheet includes a significant amount of goodwill and indefinite life intangible assets, which represent approximately 34% and 9%, respectively, of its total assets as of January 3, 2026. The excess of the purchase price over the fair value of assets acquired, including identifiable intangible assets, and liabilities assumed in conjunction with acquisitions is recorded as goodwill. In accordance with Accounting Standards Codification 350</w:t>
      </w:r>
      <w:r>
        <w:rPr>
          <w:rFonts w:ascii="Times New Roman" w:cs="Times New Roman" w:eastAsia="Times New Roman" w:hAnsi="Times New Roman"/>
          <w:sz w:val="18"/>
          <w:szCs w:val="18"/>
          <w:i w:val="1"/>
          <w:iCs w:val="1"/>
          <w:color w:val="auto"/>
        </w:rPr>
        <w:t>, Intangibles-Goodwill and Other</w:t>
      </w:r>
      <w:r>
        <w:rPr>
          <w:rFonts w:ascii="Times New Roman" w:cs="Times New Roman" w:eastAsia="Times New Roman" w:hAnsi="Times New Roman"/>
          <w:sz w:val="18"/>
          <w:szCs w:val="18"/>
          <w:color w:val="auto"/>
        </w:rPr>
        <w:t>, SpinCo’s goodwill and indefinite life intangibles are reviewed for impairment annually and whenever events or changes in circumstances indicate that the carrying amount of an asset may not be recoverable. In assessing the recoverability of goodwill and indefinite life intangibles, SpinCo considers changes in economic conditions and makes assumptions regarding estimated future cash flows and other factors. Various uncertainties, including continued adverse conditions in the capital markets or changes in general economic conditions, could impact the future operating performance at one or more of SpinCo’s businesses, which could significantly affect SpinCo’s valuations and could result in additional future impairments. Also, estimates of future cash flows are judgments based on SpinCo’s experience and knowledge of operations. These estimates could be significantly impacted by many factors, including changes in global and local business and economic conditions, operating costs, inflation, competition and consumer and demographic</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66" w:right="439" w:bottom="1440" w:gutter="0" w:footer="0" w:header="0"/>
        </w:sectPr>
      </w:pPr>
    </w:p>
    <w:bookmarkStart w:id="44" w:name="page45"/>
    <w:bookmarkEnd w:id="44"/>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trends. If SpinCo’s estimates or the underlying assumptions change in the future, SpinCo may be required to record impairment charges that, if incurred, could have a material adverse effect on SpinCo’s reported net earnings.</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food processing industry, and failure to successfully compete could impact our results of operations and cash flows.</w:t>
      </w:r>
    </w:p>
    <w:p>
      <w:pPr>
        <w:spacing w:after="0" w:line="5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SpinCo operates in a highly competitive industry. In the food processing industry, competition is based on a variety of factors, including product features and design, brand recognition, reliability, durability, technology, energy efficiency, breadth of product offerings, price, customer relationships, delivery lead-times, serviceability and after-sale service. SpinCo has numerous competitors in the food processing industry. Many of SpinCo’s competitors are substantially larger and enjoy substantially greater financial, marketing, technological and personnel resources. These factors may enable them to develop similar or superior products, to provide lower cost products and to carry out their business strategies more quickly and efficiently than SpinCo can. In addition, some competitors focus on particular product lines or geographic regions or emphasize their local manufacturing presence or local market knowledge. Some competitors have different pricing structures and may be able to deliver their products at lower prices. Although SpinCo believes that the performance and price characteristics of its products will provide competitive solutions for its customers’ needs, there can be no assurance that SpinCo’s customers will continue to choose SpinCo’s products over products offered by its competitors.</w:t>
      </w:r>
    </w:p>
    <w:p>
      <w:pPr>
        <w:spacing w:after="0" w:line="17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Further, the markets for SpinCo’s products are characterized by changing technology and evolving industry standards, including a focus on developing and manufacturing energy efficient products in a sustainable way. SpinCo’s ability to compete successfully will depend, in large part, on its ability to enhance and improve its existing products, including its energy efficient products and products manufactured through a process designed to reduce emissions, to continue to bring innovative products to market in a timely fashion, to adapt SpinCo’s products to the needs and standards of its current and potential customers and to continue to improve operating efficiencies and lower manufacturing costs. Moreover, competitors may develop technologies or products that render SpinCo’s products obsolete or less marketable. If SpinCo is unable to successfully compete in this highly competitive environment, SpinCo’s business, financial condition and operating results will be materially harmed.</w:t>
      </w:r>
    </w:p>
    <w:p>
      <w:pPr>
        <w:spacing w:after="0" w:line="29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remain competitive, we need to rapidly and successfully develop and introduce complex new solutions in a global, competitive, demanding and changing environment.</w:t>
      </w:r>
    </w:p>
    <w:p>
      <w:pPr>
        <w:spacing w:after="0" w:line="51"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If SpinCo loses its significant technology advantage in its products and services, its market share and growth could be materially adversely affected. In addition, if SpinCo is unable to deliver products, features and functionality as projected, SpinCo may be unable to meet its commitments to customers, which could have a material adverse effect on its reputation and business. Investments into new equipment can involve significant development time, high upfront investments and the need for careful market validation. Significant investments in research and development efforts that do not lead to successful products, features and functionality could also materially adversely affect SpinCo’s business, financial condition and results of operations. SpinCo’s business, financial condition, results of operations and cash flows could be materially adversely affected by competing technology.</w:t>
      </w:r>
    </w:p>
    <w:p>
      <w:pPr>
        <w:spacing w:after="0" w:line="27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developing products and technologies, which could delay product introductions and result in significant expenditures.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product, program and service needs of SpinCo’s customers change and evolve regularly, and SpinCo invests substantial amounts in research and development efforts to pursue advancements in a wide range of technologies, products and services. Also, SpinCo continually seeks to refine and improve upon the performance, utility and physical attributes of its existing products and to develop new products. As a result, SpinCo’s business is subject to risks associated with new product and technological development, including unanticipated technical or other problems, meeting development, production, certification and regulatory approval schedules, execution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5" w:name="page46"/>
    <w:bookmarkEnd w:id="45"/>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SpinCo’s target end-markets, validation of innovative technologies, the level of customer interest in new technologies and products and customer acceptance of SpinCo’s products and products that incorporate technologies that SpinCo develops. These factors involve significant risks and uncertainties. Also, any development efforts divert resources from other potential investments in SpinCo’s businesses, and these efforts may not lead to the development of new technologies or products on a timely basis or meet the needs of SpinCo’s customers as fully as competitive offerings. In addition, the markets for SpinCo’s products or products that incorporate SpinCo’s technologies may not develop or grow as SpinCo anticipates. SpinCo or its suppliers and subcontractors may encounter difficulties in developing and producing these new products and services, and may not realize the degree or timing of benefits initially anticipated. Due to the design complexity of SpinCo’s products, SpinCo may in the future experience delays in completing the development and introduction of new products. Any delays could result in increased development costs or deflect resources from other projects. The occurrence of any of these risks could cause a substantial change in the design, delay in the development, or abandonment of new technologies and products. Consequently, there can be no assurance that SpinCo will develop new technologies superior to SpinCo’s current technologies or successfully bring new products to market.</w:t>
      </w:r>
    </w:p>
    <w:p>
      <w:pPr>
        <w:spacing w:after="0" w:line="187"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Additionally, there can be no assurance that new technologies or products, if developed, will meet SpinCo’s current price or performance objectives, be developed on a timely basis, or prove to be as effective as products based on other technologies. The inability to successfully complete the development of a product, or a determination by SpinCo, for financial, technical or other reasons, not to complete development of a product, particularly in instances in which SpinCo has made significant expenditures, could have a material adverse effect on SpinCo’s financial condition and operating results.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increases in some materials and disruptions in supply could affect our profitability.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SpinCo uses large amounts of stainless steel, aluminized steel and other commodities in the manufacture of its products. Significant increases in the prices of steel or any other commodity, or changes in trade policies, including the imposition of tariffs or other trade restrictions, have in the past created, and have the potential in the future to create, upward pressure on commodity prices, leading to a potentially unfavorable impact on operating results. Unanticipated delays in delivery of raw materials and component inventories by suppliers—including delays due to capacity constraints, labor disputes, attacks on maritime ocean shipments, impaired financial condition of suppliers, natural disasters, extreme weather patterns and climate change, pandemics or other events outside of our control—have and may increase SpinCo’s production costs, cause delays in the shipment of products or impair the ability of SpinCo to satisfy customer demand. An interruption in or the cessation of an important supply by any third party and SpinCo’s inability to make alternative arrangements in a timely manner, or at all, could have a material adverse effect on SpinCo’s business, financial condition and operating results.</w:t>
      </w:r>
    </w:p>
    <w:p>
      <w:pPr>
        <w:spacing w:after="0" w:line="292"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trade regulation, quotas, duties or tariffs, caused by the changing U.S. and geopolitical environments or otherwise, may increase our costs or limit the amount of raw materials and products that we can import, or may otherwise adversely impact our business, financial condition, results of operations, cash flows and prospects.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U.S. government imposes the import duties or other restrictions on products or raw materials sourced from countries that it perceives as engaging in unfair trade practices. For instance, since 2018, the U.S. government has imposed tariffs on steel and aluminum imports and on specified imports from China. In response to these tariffs, several major U.S. trading partners have imposed, or announced their intention to impose, tariffs on U.S. goods. SpinCo imports raw materials from China and other such countries subject to these tariffs. Any such duties or restrictions could have a material adverse effect on SpinCo’s business, results of operations or financial condition.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46" w:name="page47"/>
    <w:bookmarkEnd w:id="46"/>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Moreover, these tariffs, or other changes in U.S. trade policy, could trigger retaliatory actions by affected countries. A “trade war” of this nature or other governmental action related to tariffs or international trade agreements or policies has the potential to adversely impact demand for SpinCo’s products, SpinCo’s costs, customers, suppliers and/or the U.S. economy or certain sectors thereof and, thus, to adversely impact SpinCo’s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the imposition of new, postponed or increased tariffs, trade sanctions or similar government actions.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operations in various countries and jurisdictions subject us to the legal, political, regulatory and social requirements and economic conditions in these jurisdictions. The recent imposition by the United States of tariffs, sanctions or other restrictions on goods exported from the United States or imported into the United States, or countermeasures imposed in response to such government actions, could increase the cost of goods for our products or reduce our ability to sell our products globally, which may adversely affect our operating results and financial condition. The materials subject to these new tariffs may impact the cost or availability of raw materials used by our suppliers or in our customers’ products. We may not be able to fully mitigate the impact of these increased costs or pass price increases on to our customers. The situation around tariffs is fluid and we cannot predict further developments, and any existing or future tariffs could have a material adverse effect on our results of operations, financial position and cash flows.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Additionally, the imposition of further tariffs by the United States on a broader range of imports, or further retaliatory trade measures taken by other countries’ governments in response to additional tariffs imposed by the United States, could increase costs in our supply chain or reduce demand for our and/or our customers’ products, either of which could adversely affect our results of operations. Any increase in trade-related costs associated with such measures may impair the profitability of our international production, may strain our suppliers’ ability to reliably provide inputs necessary to produce our products, and may otherwise affect our abilities to provide our products at previously contracted prices. Tariffs may also indirectly impair our business by causing a negative effect on global economic conditions and financial markets. Modifying our business operations to continuously adapt to or comply with rapidly evolving tariffs may be time-consuming and costly. The ultimate impact of these trade measures on our business operations and financial results is uncertain and may be affected by various factors, including whether and when such trade measures are implemented, when such trade measures may become effective, and the amount, scope and nature of such trade measures, as well as our ability to execute strategies to mitigate any negative impacts.</w:t>
      </w:r>
    </w:p>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energy or raw material prices may reduce the profitability of our customers, which ultimately could negatively affect our business, financial condition, results of operations and cash flows.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Energy prices are volatile globally, but are especially high as a result of ongoing geopolitical conflicts including in Ukraine, Iran and the Middle East. High energy prices have a negative trickledown effect on SpinCo’s customers’ business operations by reducing their profitability because of increased operating costs. SpinCo’s customers require large amounts of energy to run their businesses and higher energy prices also increase food processors’ operating costs through increased energy and utility costs to run their plants, higher priced chemical and petroleum based raw materials used in food processing, and higher fuel costs to run their logistics and service fleet vehicles.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Food processors are also affected by the cost and availability of raw materials such as feed grains, livestock, produce and dairy products. Increases in the cost and limitations in the availability of such raw materials can negatively affect the profitability of food processors’ operations. In particular, during recessions and economic downturns, levels of investment by food processors in greenfield and large projects, standard equipment and modernization may decline. A protracted decline in investment levels by SpinCo’s customers may reduce SpinCo’s revenues generated by greenfield and large projects and sales of modernization and standard equipment and related installations and negatively impact the growth of SpinCo’s installed base, thereby also impeding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7" w:name="page48"/>
    <w:bookmarkEnd w:id="47"/>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growth in aftermarket revenue opportunities in the longer term. Any reduction in SpinCo’s customers’ profitability due to higher energy or raw material costs or otherwise may reduce their future expenditures for the food processing equipment that SpinCo provides. This reduction may have a material adverse effect on SpinCo’s business, financial condition, results of operations and cash flows.</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food consumption patterns due to dietary trends or economic conditions may adversely affect our business, financial condition, results of operations and cash flows.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Dietary trends can create demand for protein food products but negatively impact demand for high-carbohydrate foods, or create demand for easy to prepare, transportable meals but negatively impact traditional canned food products. Because different food types and food packaging can quickly go in and out of style as a function of dietary, health, convenience or sustainability trends, food processors can be challenged in accurately forecasting their needed manufacturing capacity and the related investment in equipment and services. Rising food and other input costs, and recessionary fears, may negatively impact our customer’s ability to forecast consumer demand for protein products or processed food products and as a result negatively impact our customer’s demand for our goods and services. A demand shift away from protein products or processed foods could have a material adverse effect on our business, financial condition, results of operations, cash flows and prospects.</w:t>
      </w:r>
    </w:p>
    <w:p>
      <w:pPr>
        <w:spacing w:after="0" w:line="18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Changes in eating habits could reduce demand from our customer base, which could adversely affect our business, financial condition, results of operations, cash flows and prospects. For example, there is a growing dietary preference for plant based/alternative proteins. If dietary preferences change significantly, we may be required to modify our sales strategy or invest in new or modified equipment or technology solutions, and we may experience losses as a result. Furthermore, new and current medical treatments such as GLP-1 agonists, which suppress a person’s appetite, may shift dietary preferences and impact consumer demand for our products. Our failure to quickly and effectively adapt to any significant shift in dietary preference could materially adversely affect our financial performance.</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other widespread outbreaks of contagious disease, which could significantly disrupt our operations and impact our operating results.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spread of contagious diseases or other adverse public health developments has had a material and adverse effect on our business operations. These effects have, in the past, included and may in the future include disruptions or restrictions on our ability to travel, temporary closures of our or our customers’ facilities and disruptions to our supply chain. Any disruption of our, our suppliers’ or our customers’ businesses due to adverse public health developments could have a material impact on our sales and operating results.</w:t>
      </w:r>
    </w:p>
    <w:p>
      <w:pPr>
        <w:spacing w:after="0" w:line="2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the subject of product liability claims or product recalls, and we may be unable to obtain or maintain insurance adequate to cover potential liabilities.</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Product liability is a significant commercial risk to SpinCo. SpinCo’s business exposes it to potential liability risks that arise from the manufacturing, marketing and selling of SpinCo’s products. In addition to direct expenditures for damages, settlement and defense costs, there is a possibility of adverse publicity as a result of product liability claims. Plaintiffs in some jurisdictions have received substantial damage awards against companies based upon claims for injuries allegedly caused by the use of their products. In addition, it may be necessary for SpinCo to recall products that do not meet approved specifications, which could result in adverse publicity as well as costs connected to the recall and loss of revenue.</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SpinCo cannot be certain that a product liability claim or series of claims brought against it would not have an adverse effect on SpinCo’s business, financial condition or results of operations. If any claim is brought against SpinCo, regardless of the success or failure of the claim, there can be no assurance that SpinCo will be able to obtain or maintain product liability insurance in the future on acceptable terms or with adequate coverage against potential liabilities or the cost of a recall. SpinCo will maintain insurance programs consisting of self-insurance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48" w:name="page49"/>
    <w:bookmarkEnd w:id="48"/>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 to certain limits and excess insurance coverage for claims over established limits. There can be no assurance that SpinCo’s insurance programs will provide adequate protection against actual losses. In addition, SpinCo is subject to the risk that one or more of its insurers may become insolvent or become unable to pay claims that may be made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warranty expenses could adversely affect our financial performance.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SpinCo offers purchasers of its products warranties covering workmanship and materials typically for one year and, in certain circumstances, for longer periods, during which periods SpinCo or an authorized service representative will make repairs and replace parts that have become defective in the course of normal use. SpinCo estimates and records its future warranty costs based upon past experience. These warranty expenses may increase in the future and may exceed SpinCo’s warranty reserves, which, in turn, could adversely affect SpinCo’s financial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is subject to significant fluctuations.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SpinCo’s financial performance is subject to quarterly and annual fluctuations due to a number of factors, including:</w:t>
      </w:r>
    </w:p>
    <w:p>
      <w:pPr>
        <w:spacing w:after="0" w:line="131" w:lineRule="exact"/>
        <w:rPr>
          <w:sz w:val="20"/>
          <w:szCs w:val="20"/>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lengthy, unpredictable sales cycle for food processing equipment;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delays in new product introductions;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market acceptance of new or enhanced versions of SpinCo’s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levels of SpinCo’s operating expenses;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 offerings and pricing 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factors could result in a material and adverse change in SpinCo’s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growth.</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SpinCo may experience rapid growth in its business, which could place a strain on SpinCo’s management, operations and financial resources. There also will be additional demands on SpinCo’s sales, marketing and information systems and on SpinCo’s administrative infrastructure as it develops and offers additional products and enters new markets. SpinCo cannot be certain that SpinCo’s operating and financial control systems, administrative infrastructure, outsourced and internal production capacity, facilities and personnel will be adequate to support SpinCo’s future operations or to effectively adapt to future growth. If SpinCo cannot manage SpinCo’s growth effectively, SpinCo’s business may be harmed.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Organizational Risks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investment and alliance strategy involves risks. If we are unable to effectively manage these risks, our business will be materially harmed.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achieve SpinCo’s strategic objectives, SpinCo may pursue strategic acquisitions of and investments in other companies, businesses or technologies.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investments entail numerous risks, including, among others:</w:t>
      </w:r>
    </w:p>
    <w:p>
      <w:pPr>
        <w:spacing w:after="0" w:line="112" w:lineRule="exact"/>
        <w:rPr>
          <w:sz w:val="20"/>
          <w:szCs w:val="20"/>
          <w:color w:val="auto"/>
        </w:rPr>
      </w:pPr>
    </w:p>
    <w:p>
      <w:pPr>
        <w:ind w:left="960" w:right="30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businesses or technologies and the inability to fully realize some of the expected synergies or otherwise achieve anticipated revenues and profits;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49" w:name="page50"/>
    <w:bookmarkEnd w:id="49"/>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inability to operate acquired businesses or utilize acquired technologies profitably;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amount of management time and attention needed to identify, execute and integrate any acquired businesses;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assumption of unknown material liabilities;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financial or operating objectives;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relating to acquisitions or to the integration of acquired businesses;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suppliers or key employees;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SpinCo’s internal controls and compliance with the regulatory requirements under the Sarbanes-Oxley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may not be able to successfully integrate any operations, personnel, services or products that it may acquire in the future.</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SpinCo may seek to expand or enhance some of its operations by forming joint ventures or alliances with various strategic partners throughout the world. Entering into joint ventures and alliances also entails risks, including difficulties in developing and expanding the businesses of newly formed joint ventures, exercising influence over the activities of joint ventures in which SpinCo does not have a controlling interest and potential conflicts with SpinCo’s joint venture or alliance partners. SpinCo cannot assure that any joint venture or alliance entered into or that may be entered into in the future will be successful.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inability to identify or complete future acquisitions could adversely affect future growth.</w:t>
      </w:r>
    </w:p>
    <w:p>
      <w:pPr>
        <w:spacing w:after="0" w:line="12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7"/>
          <w:szCs w:val="17"/>
          <w:color w:val="auto"/>
        </w:rPr>
        <w:t>SpinCo intends to implement a growth strategy of identifying and acquiring businesses with complementary products and services by pursuing acquisitions that provide opportunities for profitable growth. While SpinCo evaluates potential acquisitions, it may not be able to identify and successfully negotiate suitable acquisitions, obtain financing for future acquisitions on satisfactory terms, obtain regulatory approval for certain acquisitions or otherwise complete acquisitions in the future. An inability to identify or complete future acquisitions could limit SpinCo’s growth.</w:t>
      </w:r>
    </w:p>
    <w:p>
      <w:pPr>
        <w:spacing w:after="0" w:line="2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Expansion of our international operations involves special challenges that we may not be able to meet. Our failure to meet these challenges could adversely affect our business, financial condition, results of operations, cash flows and prospects.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plans to expand its international operations. SpinCo faces certain risks inherent in doing business in international markets. These risks include:</w:t>
      </w:r>
    </w:p>
    <w:p>
      <w:pPr>
        <w:spacing w:after="0" w:line="131" w:lineRule="exact"/>
        <w:rPr>
          <w:sz w:val="20"/>
          <w:szCs w:val="20"/>
          <w:color w:val="auto"/>
        </w:rPr>
      </w:pPr>
    </w:p>
    <w:p>
      <w:pPr>
        <w:ind w:left="960" w:right="380" w:hanging="424"/>
        <w:spacing w:after="0" w:line="312" w:lineRule="auto"/>
        <w:tabs>
          <w:tab w:leader="none" w:pos="9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extensive regulations and oversight, tariffs, including with respect to certain products imported from China or exported to China, retaliatory tariffs by China and certain other countries in response to tariffs implemented by the United States and other trade barriers;</w:t>
      </w:r>
    </w:p>
    <w:p>
      <w:pPr>
        <w:spacing w:after="0" w:line="45" w:lineRule="exact"/>
        <w:rPr>
          <w:rFonts w:ascii="Times New Roman" w:cs="Times New Roman" w:eastAsia="Times New Roman" w:hAnsi="Times New Roman"/>
          <w:sz w:val="17"/>
          <w:szCs w:val="17"/>
          <w:color w:val="auto"/>
        </w:rPr>
      </w:pPr>
    </w:p>
    <w:p>
      <w:pPr>
        <w:ind w:left="96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renegotiation of international trade agreements and other restrictions on trade between the United States and China, the European Union, Canada, Mexico and other countries;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impact on operations, suppliers and customers related to business disruptions in international jurisdictions;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and adverse changes in tax laws;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ownership and on repatriation of earnings;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50" w:name="page51"/>
    <w:bookmarkEnd w:id="50"/>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transportation delays and interruptions;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and disruptions;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unrests or shortages;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nationalization of enterprises;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SpinCo’s ability to enforce legal rights and remedies.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SpinCo is and will be required to comply with the laws and regulations of foreign governmental and regulatory authorities of each country in which SpinCo conducts business.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can be no assurance that SpinCo will be able to succeed in marketing its products and services in international markets. SpinCo may also experience difficulty in managing its international operations because of, among other things, competitive conditions overseas, geopolitical threats or hostilities, management of foreign exchange risk, established domestic markets and language and cultural differences. Any of these factors could have a material adverse effect on the success of SpinCo’s international operations and, consequently, on SpinCo’s business, financial condition and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impact of future transactions on SpinCo common stock is uncertain.</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SpinCo will periodically review potential transactions related to products or product rights and businesses complementary to SpinCo’s business. Such transactions could include mergers, acquisitions, joint ventures, alliances or licensing agreements. In the future, SpinCo may choose to enter into such transactions at any time. The impact of transactions on the market price of SpinCo common stock is often uncertain and may include substantial fluctuations. Consequently, any announcement of any such transaction could have a material adverse effect upon the market price of SpinCo common stock. Moreover, depending upon the nature of any transaction, SpinCo may experience a charge to earnings, which could be material and have an adverse impact upon the market price of SpinCo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in the event of labor disruptions, changes in laws and other labor regulations and increases to our labor expenses.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SpinCo has 104 workers whose employment is subject to collective bargaining agreements and who are represented by a union, works council or other employee representative body, SpinCo is vulnerable to possible organized work stoppages and similar actions. Employees represented by unions or works councils accounted for approximately 4% of SpinCo’s workforce as of January 3, 2026. SpinCo has union contracts with employees at its facilities in Algona, Iowa and Lodi, Wisconsin that extend through December 2026 and December 2027, respectively. Less than 2% of SpinCo’s workforce is covered by collective bargaining agreements that expire within one year. Any future strikes, employee slowdowns or similar actions by one or more unions or works councils, in connection with labor contract negotiations or otherwise, could have a material adverse effect on SpinCo’s ability to operate its business. While SpinCo has not experienced any material work stoppages at any of its facilities, any stoppage or slowdown could cause material interruptions in SpinCo’s business, and it cannot assure investors that alternate qualified personnel would be available on a timely basis, or at all.</w:t>
      </w:r>
    </w:p>
    <w:p>
      <w:pPr>
        <w:spacing w:after="0" w:line="18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While SpinCo is already subject to oversight by works councils in certain European countries, if SpinCo becomes subject to oversight by any works councils in additional jurisdictions, it may be required to consult with such works councils with respect to certain decisions and to provide specific information and records upon request. Any failure to engage with or provide information to a works council could result in actual or threatened legal challenges or proceedings. Additionally, consultation with and/or obtaining approvals from works councils may involve additional expense and unanticipated delays, particularly if SpinCo is required to make changes to accommodate feedback and recommendations from such works councils. If consultations with a works council does not yield a desired result, or if a works council withholds or delays its approvals, SpinCo may be unable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1" w:name="page52"/>
    <w:bookmarkEnd w:id="51"/>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 key transactions in a timely fashion or at all, which may impede the ability of SpinCo to execute its growth strategy and/or have a material adverse effect on its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significantly on our key personnel.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SpinCo depends significantly on SpinCo’s executive officers and certain other key personnel, who could be difficult to replace. The incapacity, inability or unwillingness of certain personnel to perform their services may have a material adverse effect on SpinCo. There is intense competition for qualified personnel within SpinCo’s industry, and there can be no assurance that SpinCo will be able to continue to attract, motivate and retain personnel with the skills and experience needed to successfully manage SpinCo’s business and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Cybersecurity Risks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which may materially harm our business, financial condition, results of operations, cash flows and prospects.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SpinCo relies primarily on trade secret, copyright, service mark, trademark and patent law and contractual protections to protect SpinCo’s proprietary technology and other proprietary rights. It is possible that third parties may copy or otherwise obtain and use SpinCo’s proprietary technology without authorization or may otherwise infringe on SpinCo’s rights. In some cases, including with respect to a number of SpinCo’s most important products, there may be no effective legal recourse against duplication by competitors as the legal systems of certain countries, particularly certain developing countries, do not favor the enforcement of patents and other intellectual property protection. This could make it difficult for us to stop the infringement of our patents and future patents we may own, or, generally, prevent the marketing of competing products in violation of our proprietary rights. Further, the laws of some foreign countries do not protect proprietary rights to the same extent or in the same manner as the laws of the United States. In the future, SpinCo may have to rely on litigation to enforce its intellectual property rights, protect its trade secrets, determine the validity and scope of the proprietary rights of others or defend against claims of infringement or invalidity. Any such litigation, whether successful or unsuccessful, could result in substantial costs to SpinCo and diversions of SpinCo’s resources, either of which could adversely affect SpinCo’s business.</w:t>
      </w:r>
    </w:p>
    <w:p>
      <w:pPr>
        <w:spacing w:after="0" w:line="2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infringement by us of a third party’s patent rights could result in litigation and adversely affect our ability to provide, or could increase the cost of providing, our products and services.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Patents of third parties may have an important bearing on SpinCo’s ability to offer some of its products and services. SpinCo’s competitors, as well as other companies and individuals, may obtain patents related to the types of products and services SpinCo offers or plans to offer. There can be no assurance that SpinCo is or will be aware of all patents containing claims that may pose a risk of infringement by its products and services. In addition, some patent applications in the United States are confidential until a patent is issued and, therefore, SpinCo cannot evaluate the extent to which its products and services may be covered or asserted to be covered by claims contained in pending patent applications. In general, if one or more of SpinCo’s products or services were to infringe patents held by others, SpinCo may be required to stop developing or marketing the products or services, to obtain licenses from the holders of the patents to develop and market the services, or to redesign the products or services in such a way as to avoid infringing on the patent claims. SpinCo cannot assess the extent to which it may be required in the future to obtain licenses with respect to patents held by others, whether such licenses would be available or, if available, whether it would be able to obtain such licenses on commercially reasonable terms. If SpinCo is unable to obtain such licenses, it also may not be able to redesign SpinCo’s products or services to avoid infringement, which could materially adversely affect SpinCo’s business, financial condition and operating results.</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40"/>
          </w:cols>
          <w:pgMar w:left="440" w:top="270" w:right="519" w:bottom="1440" w:gutter="0" w:footer="0" w:header="0"/>
        </w:sectPr>
      </w:pPr>
    </w:p>
    <w:bookmarkStart w:id="52" w:name="page53"/>
    <w:bookmarkEnd w:id="52"/>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subject to information technology system failures, network disruptions, cybersecurity attacks and breaches in data security, which may materially adversely affect our operations, financial condition and operating results.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SpinCo depends on information technology as an enabler to improve the effectiveness of its operations and to interface with its customers, as well as to maintain financial accuracy and efficiency. Information technology system failures, including suppliers’ or vendors’ system failures, could in the future disrupt SpinCo’s operations by causing transaction errors, processing inefficiencies, delays or cancellation of customer orders, the loss of customers, impediments to the manufacture or shipment of products, other business disruptions or the loss of or damage to intellectual property through a security breach.</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SpinCo’s information systems, or those of its third-party service providers, have and may in the future be intent on extracting information, corrupting information or disrupting business processes. Such unauthorized access could materially disrupt SpinCo’s business, increase costs and/or result in the loss of assets. Cybersecurity attacks are becoming more sophisticated and include, but are not limited to, malicious software, attempts to gain unauthorized access to data and other electronic security breaches that could lead to disruptions in critical systems, unauthorized release of confidential or otherwise protected information, corruption or destruction of data and other manipulation or improper use of systems or networks. These events could negatively impact SpinCo’s customers and/or reputation and lead to financial losses from remediation actions, loss of business, production downtimes, operational delays or potential liability, penalties, fines or other increases in expense, all of which may have a material adverse effect on SpinCo’s business. In addition, as security threats and cybersecurity and data privacy and protection laws and regulations, including those related to the collection, storage, handling, use, disclosure, transfer and security of personally identifiable information, continue to evolve and become more sophisticated, we may invest additional resources in the security of our systems. Any such increased investment could materially increase our costs and adversely affect our financial condition or results of operations. Further, as governmental authorities around the world continue to consider legislative and regulatory proposals concerning data protection in addition to those already in place, we are and may continue to be subject to substantial penalties if we fail to comply with data protection laws and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Legal and Regulatory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tax and other legal compliance risks.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product liability claims, SpinCo is subject to a variety of litigation, tax and other legal compliance risks. These risks include, among other things, possible liability relating to personal injuries, intellectual property rights, contract-related claims, taxes and compliance with U.S. and foreign export laws, competition laws and laws governing improper business practices. SpinCo or one of its business units could be charged with wrongdoing as a result of such matters. If convicted or found liable, SpinCo could be subject to significant fines, penalties, repayments or other damages.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results of operations may be impaired by the improper conduct of any of our employees, agents or business partners.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While SpinCo strives to maintain high standards, SpinCo cannot provide assurance that its internal controls and compliance systems will always protect SpinCo from acts committed by its employees, agents or business partners that violate U.S. and/or foreign laws or fail to protect SpinCo’s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violations of law or improper actions could subject SpinCo to civil or criminal investigations in the United States and in other jurisdictions, lead to substantial civil or criminal monetary and non-monetary penalties, and related stockholder lawsuits, lead to increased costs of compliance and damage SpinCo’s reputation.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66"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subject to potential liability under environmental laws.</w:t>
      </w:r>
    </w:p>
    <w:p>
      <w:pPr>
        <w:spacing w:after="0" w:line="12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SpinCo’s operations are regulated by a number of federal, state and local environmental laws and regulations that govern, among other things, the discharge of hazardous materials into the air and water as well as the handling, storage and disposal of these materials. Compliance with these environmental laws and regulations is a significant consideration for SpinCo because it uses hazardous materials in its manufacturing processes. In addition, because SpinCo is a generator of hazardous wastes, even if it fully complies with applicable environmental laws, it may be subject to financial exposure for costs associated with an investigation and remediation of sites at which it has arranged for the disposal of hazardous wastes if these sites become contaminated. In the event of a violation of environmental laws, SpinCo could be held liable for damages and for the costs of remedial actions. Environmental laws could also become more stringent over time, imposing greater compliance costs and increasing risks and penalties associated with any violation, which could negatively affect SpinCo’s operating results. There can be no assurance that identification of presently unidentified environmental conditions, more vigorous enforcement by regulatory authorities or other unanticipated events will not arise in the future resulting in additional environmental liabilities, compliance costs and penalties that could be material. Environmental laws and regulations are constantly evolving, and it is impossible to accurately predict the effect they may have upon the financial condition, results of operations or cash flows of SpinCo.</w:t>
      </w:r>
    </w:p>
    <w:p>
      <w:pPr>
        <w:spacing w:after="0" w:line="286"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climate change legislation, regulation and international accords. In addition, failure to achieve or demonstrate progress towards our climate goals may expose us to liability and reputational harm.</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Government mandates, standards or regulations intended to reduce greenhouse gas emissions or projected climate change impacts have resulted in, and are likely to continue resulting in, increased energy, manufacturing, transportation and raw material costs. Governmental requirements directed at regulating greenhouse gas emissions could cause us to incur expenses that we cannot recover or that will require us to increase the price of products we sell, which could impact the demand for those products.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anticipate that we will make statements about our sustainability initiatives through information provided on our website, press releases and other communications. Disclosures regarding sustainability considerations and the implementation of related initiatives involve risks and uncertainties. There can be no assurance that we will achieve our climate-related goals on the timeline anticipated or at all. Further, future events or circumstances could lead us to prioritize other business interests over progressing toward our current climate goals due to factors such as business strategy, economic conditions, regulatory changes or pressure from stakeholders. If we fail or are perceived to fail to progress toward achieving our climate-related goals and commitments or meet evolving and varied expectations and standards from our investors, customers or other stakeholders, we could face adverse publicity or legal and regulatory proceedings, which could have a material adverse impact on our business, financial condition, results of operations, cash flows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tax law changes and tax authority rulings may adversely affect financial results.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SpinCo is subject to income taxes in the United States and in various foreign jurisdictions. Domestic and international tax liabilities are based on the income and expenses in various tax jurisdictions. The amount of SpinCo’s income and other tax liability is subject to ongoing audits by U.S. federal, state and local tax authorities and by non-U.S. authorities. If these audits result in assessments different from amounts recorded, future financial results may include unfavorable tax adjustments.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(“OECD”) issued Pillar II model rules which would establish a global per-country minimum tax of 15%. While it is uncertain whether the United States will enact legislation to adopt Pillar II, numerous countries have enacted legislation effective in 2024 and 2025, or have indicated their intent to adopt legislation, to implement certain aspects of Pillar II tax rules. The OECD and implementing countries are expected to continue to make further revisions to their legislation and release additional guidance.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6" w:right="459" w:bottom="1440" w:gutter="0" w:footer="0" w:header="0"/>
        </w:sectPr>
      </w:pPr>
    </w:p>
    <w:bookmarkStart w:id="54" w:name="page55"/>
    <w:bookmarkEnd w:id="54"/>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recent years, the OECD has issued Administrative Guidance, including the most recent agreement to a side-by-side system released on January 5, 2026. The side-by-side agreement is intended to complement the OECD’s Pillar II model rules with the addition of new safe harbors, as well as other simplification measures, that are designed to provide clarity and reduce compliance complexity for eligible multinational companies. The Administrative Guidance generally requires further legislative or regulatory action to be effective. These potential changes increase tax uncertainty and may impact income tax expense in future years. SpinCo will continue to monitor pending legislation and implementation by individual countries and evaluate the potential impact on SpinCo’s business in future periods.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Spin-Off</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some or all of the expected benefits of the spin-off, and the spin-off may adversely impact our business, financial condition, results of operations, cash flows and prospects.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may not realize any strategic, financial, operational or other benefits from the spin-off. We cannot predict with certainty if or when anticipated benefits will occur or the extent to which they will be achieved. Following the completion of the spin-off, our operational and financial profile will change and we will face new risks. Following the completion of the spin-off, we will be a smaller and less-diversified company compared to Middleby prior to the spin-off, and we may be more vulnerable to changing market conditions. While we believe that the spin-off will position each company to better unlock its full standalone long-term potential, we cannot assure you that following the spin-off we will be successful. Further, there can be no assurance that the combined value of the common stock of the two resulting companies will be equal to or greater than what the value of Middleby common stock would have been had the spin-off not occurred.</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After the spin-off, Middleby or SpinCo may offer products or engage in businesses that compete with the other company’s products or businesses. In addition, under the terms of the tax matters agreement that SpinCo will enter into with Middleby, it will be restricted from taking certain actions that could cause the distribution or certain related transactions to fail to qualify as tax-free and these restrictions may limit us for a period of time from pursuing certain strategic transactions and equity issuances or engaging in other transactions that might increase the value of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material costs and expenses as a result of the spin-off.</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incur costs and expenses greater than those we currently expect to incur as a result of the spin-off. These increased costs and expenses may arise from various factors, including financial reporting and costs associated with complying with federal securities laws (including compliance with the Sarbanes-Oxley Act). We will also incur ongoing costs and dis-synergies in connection with, or as a result of, the separation and related restructuring transactions, including costs of operating as independent, publicly traded companies that the two businesses will no longer be able to share. We cannot assure you that these costs will not be material to our business.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following the spin-off, we are unable to satisfy the requirements of Section 404 of the Sarbanes-Oxley Act, or our internal control over financial reporting is not effective, the reliability of our financial statements may be questioned, and our stock price may suffer.</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Section 404 of the Sarbanes-Oxley Act requires any company subject to the reporting requirements of the United States securities laws to conduct a comprehensive evaluation of its and its consolidated subsidiaries’ internal control over financial reporting. To comply with this statute, we will be required to document and test our internal control procedures, our management will be required to assess and issue a report concerning our internal control over financial reporting and our independent auditors will be required to issue an opinion on our internal control over financial reporting. The rules governing the standards that must be met for management to assess our internal control over financial reporting are complex and require significant documentation, testing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5" w:name="page56"/>
    <w:bookmarkEnd w:id="5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possible remediation to meet the detailed standards under the rules. During the course of our testing, our management may identify material weaknesses or deficiencies which may not be remedied in time to meet the deadline imposed by the Sarbanes-Oxley Act. If our management concludes that our internal control over financial reporting is not effective, or we identify material weaknesses in our internal controls, investor confidence in our financial results may weaken, and our stock price may suffer.</w:t>
      </w:r>
    </w:p>
    <w:p>
      <w:pPr>
        <w:spacing w:after="0" w:line="284"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w:t>
      </w:r>
    </w:p>
    <w:p>
      <w:pPr>
        <w:spacing w:after="0" w:line="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being spun-off from Middleby, our parent company, and have no operating history as an independent, publicly traded company. The historical information about us in this information statement refers to our business as part of pre-spin-off Middleby. Our historical and pro forma financial information included in this information statement is derived from the combined financial statements and accounting records of Middleby. Accordingly, the historical and pro forma financial information included in this information statement does not necessarily reflect the financial condition, results of operations or cash flows that we would have achieved as a separate, publicly traded company during the periods presented or those that we will achieve in the future primarily as a result of the factors described below:</w:t>
      </w:r>
    </w:p>
    <w:p>
      <w:pPr>
        <w:spacing w:after="0" w:line="93" w:lineRule="exact"/>
        <w:rPr>
          <w:sz w:val="20"/>
          <w:szCs w:val="20"/>
          <w:color w:val="auto"/>
        </w:rPr>
      </w:pPr>
    </w:p>
    <w:p>
      <w:pPr>
        <w:jc w:val="both"/>
        <w:ind w:left="960" w:right="320" w:hanging="424"/>
        <w:spacing w:after="0" w:line="266"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make significant investments to replicate or outsource certain systems, infrastructure and functional expertise after the spin-off. These initiatives to develop our independent ability to operate will be costly to implement. We may not be able to operate our business as efficiently or at comparable costs, and our profitability may decline;</w:t>
      </w:r>
    </w:p>
    <w:p>
      <w:pPr>
        <w:spacing w:after="0" w:line="81" w:lineRule="exact"/>
        <w:rPr>
          <w:rFonts w:ascii="Times New Roman" w:cs="Times New Roman" w:eastAsia="Times New Roman" w:hAnsi="Times New Roman"/>
          <w:sz w:val="18"/>
          <w:szCs w:val="18"/>
          <w:color w:val="auto"/>
        </w:rPr>
      </w:pPr>
    </w:p>
    <w:p>
      <w:pPr>
        <w:ind w:left="960" w:right="60" w:hanging="424"/>
        <w:spacing w:after="0" w:line="258"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we finance our working capital or other cash requirements may differ from how we financed those requirements as part of pre-spin-off Middleby. After the spin-off, our access to and cost of debt financing will be different from the historical access to and cost of debt financing under pre-spin-off Middleby. Differences in access to and cost of debt financing are likely to result in differences in interest rates charged to us on financings, the amounts of indebtedness, types of financing structures and debt markets that may be available to us, which may have an adverse effect on our business, financial condition, results of operations, cash flows and prospects; and</w:t>
      </w:r>
    </w:p>
    <w:p>
      <w:pPr>
        <w:spacing w:after="0" w:line="88"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preparing our financial statements, pre-spin-off Middleby made allocations of costs and corporate expenses deemed to be attributable to our business. However, these costs and expenses reflect the costs and expenses attributable to our business operated as part of a larger organization and do not necessarily reflect costs and expenses that would be incurred by us had we been operating independently. As a result, our historical financial information may not be a reliable indicator of future results.</w:t>
      </w:r>
    </w:p>
    <w:p>
      <w:pPr>
        <w:spacing w:after="0" w:line="18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For additional information about the past financial performance of our business and the basis of presentation of the historical combined financial statements and the unaudited pro forma combined financial statements of our business, see the sections of this information statement entitled “Unaudited Pro Forma Condensed Combined Financial Information,” “Notes to the Unaudited Pro Forma Condensed Combined Financial Information,” “Summary of Historical and Unaudited Pro Forma Combined Financial Data” and “Management’s Discussion and Analysis of Financial Condition and Results of Operations,” as well as the combined financial statements and accompanying notes included elsewhere in this information statement.</w:t>
      </w:r>
    </w:p>
    <w:p>
      <w:pPr>
        <w:spacing w:after="0" w:line="2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Middleby may fail to perform under various transaction agreements that will be executed as part of the spin-off, or we may fail to have necessary systems and services in place when Middleby is no longer obligated to provide services under the various agreements.</w:t>
      </w:r>
    </w:p>
    <w:p>
      <w:pPr>
        <w:spacing w:after="0" w:line="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and Middleby will enter into certain agreements, such as the separation and distribution agreement, a transition services agreement, a tax matters agreement, an employee matters agreement and an intellectual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6" w:name="page57"/>
    <w:bookmarkEnd w:id="5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matters agreement, as discussed in greater detail in the section of this information statement entitled “Certain Relationships and Related Transactions—Material Agreements with Middleby,” which may provide for the performance by each company for the benefit of the other for a period of time after the spin-off. If Middleby is unable to satisfy its obligations under these agreements, including its indemnification obligations in favor of us, we could incur operational difficulties or losses.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we do not have in place our own systems and services, and do not have agreements with other providers of these services when the transitional or other agreements terminate, or if we do not implement the new systems or replace Middleby’s services successfully, we may not be able to operate our business effectively, which could disrupt our business and have a material adverse effect on our business, financial condition, results of operations, cash flows and prospects. These systems and services may also be more expensive to install, implement and operate, or less efficient than the systems and services Middleby is expected to provide during the transition period.</w:t>
      </w:r>
    </w:p>
    <w:p>
      <w:pPr>
        <w:spacing w:after="0" w:line="28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spin-off, Middleby will indemnify us for certain liabilities. However, there can be no assurance that the indemnity will be sufficient to protect us against the full amount of such liabilities, or that Middleby’s ability to satisfy its indemnification obligation will not be impaired in the future.</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Middleby will agree to indemnify us for certain liabilities as discussed further in the section of this information statement entitled “Certain Relationships and Related Transactions—Material Agreements with Middleby.” However, third parties could also seek to hold us responsible for liabilities that Middleby has agreed to retain, and there can be no assurance that the indemnity from Middleby will be sufficient to protect us against the full amount of such liabilities, or that Middleby will be able to fully satisfy its indemnification obligations. In addition, Middleby’s insurers may attempt to deny coverage to us for liabilities associated with certain occurrences of indemnified liabilities prior to the spin-off.</w:t>
      </w:r>
    </w:p>
    <w:p>
      <w:pPr>
        <w:spacing w:after="0" w:line="28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our separation, we will assume, and indemnify Middleby for, certain liabilities. If we are required to make payments pursuant to these indemnities to Middleby, we would need to meet those obligations and our financial results could be adversely impacted.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agree to assume, and indemnify Middleby for, certain liabilities as discussed further in the section of this information statement entitled “Certain Relationships and Related Transactions—Material Agreements with Middleby.” Payments pursuant to these indemnities may be significant and could adversely impact our business, financial condition, results of operations, cash flows and prospects, particularly indemnities relating to our actions that could impact the tax-free nature of the distribution.</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there is a determination that the distribution of shares of SpinCo common stock or certain related transactions are taxable for U.S. federal income tax purposes, Middleby and its stockholders could incur significant tax liabilities, and we could incur significant liabilities pursuant to our indemnification obligations under the tax matters agreement.</w:t>
      </w:r>
    </w:p>
    <w:p>
      <w:pPr>
        <w:spacing w:after="0" w:line="6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is a condition to the distribution that Middleby receive the Tax Opinion, satisfactory to the Middleby Board, regarding the qualification of the distribution for the Intended Tax Treatment. The Tax Opinion will be based upon and rely on, among other things, various facts and assumptions, as well as certain representations, statements and undertakings of Middleby and SpinCo, including facts, assumptions, representations, statements and undertakings relating to the past and future conduct of the companies’ respective businesses and other matters. If any of these facts, assumptions, representations and statements are or become inaccurate or incomplete, or if any such undertaking is not complied with, Middleby may not be able to rely on the Tax Opinion, and the conclusions reached therein could be jeopardized.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Notwithstanding Middleby’s receipt of the opinion of Skadden, the United States Internal Revenue Service (the “IRS”) could determine on audit that the distribution or certain related transactions are taxable for U.S. federal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57" w:name="page58"/>
    <w:bookmarkEnd w:id="57"/>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income tax purposes if it determines that any of the facts, assumptions, representations, statements and undertakings upon which the opinion were based are incorrect or have been violated, or if it disagrees with any of the conclusions in the opinion. Accordingly, notwithstanding Middleby’s receipt of the Tax Opinion, there can be no assurance that the IRS will not assert that the distribution or certain related transactions do not qualify for tax-free treatment for U.S. federal income tax purposes, or that a court would not sustain such a challenge. In the event the IRS were to prevail in such a challenge, Middleby and Middleby’s stockholders could incur significant tax liabilities. For a discussion of the U.S. federal income tax consequences of the distribution, see “Material U.S. Federal Income Tax Consequences of the Distribution.”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tax matters agreement that we will enter into with Middleby, we generally will be required to indemnify Middleby for any taxes incurred by Middleby that arise as a result of SpinCo taking or failing to take, as the case may be, certain actions that result in the distribution and certain related transactions failing to qualify as tax-free for U.S. federal income tax purposes, as well as failing to qualify for certain tax-neutral or tax-free regimes under non-U.S. tax laws. Any such indemnification could materially adversely affect our financial condition, results of operations and cash flows. For a more detailed discussion, see “Certain Relationships and Related Transactions—Material Agreements with Middleby—Tax Matters Agreement.”</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affected by significant restrictions under the tax matters agreement, including on our ability to engage in certain corporate transactions for a two-year period after the distribution, in order to avoid triggering significant tax-related liabilities.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spun-off corporation. Under the tax matters agreement that we will enter into with Middleby, we will be restricted from taking certain actions that could prevent the distribution and certain related transactions from being tax-free for U.S. federal income tax purposes or from qualifying under certain tax-neutral or tax-free regimes under non-U.S. tax laws. In particular, under the tax matters agreement, for the two-year period following the distribution, as described in the section entitled “Certain Relationships and Related Transactions—Material Agreements with Middleby—Tax Matters Agreement,” we will be subject to specific restrictions on our ability to pursue or enter into acquisition, merger, sale and redemption transactions with respect to our stock. These restrictions may limit our ability to pursue certain strategic transactions or other transactions that we may believe to be in the best interests of our stockholders or that might increase the value of our business. In addition, under the tax matters agreement, we may be required to indemnify Middleby and its affiliates against any tax-related liabilities incurred by them as a result of the acquisition of our stock or assets, even if we do not participate in or otherwise facilitate the acquisition. Furthermore, we will be subject to specific restrictions on discontinuing the active conduct of our trade or business, issuing or selling stock or other securities (including securities convertible into our stock but excluding certain compensatory arrangements), selling assets outside the ordinary course of business and redeeming or repurchasing stock unless certain requirements are met. Such restrictions may reduce our strategic and operating flexibility. For more information, please refer to the section entitled “Certain Relationships and Related Transactions— Material Agreements with Middleby—Tax Matters Agreement.”</w:t>
      </w:r>
    </w:p>
    <w:p>
      <w:pPr>
        <w:spacing w:after="0" w:line="300"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spin-off and related internal restructuring transactions may expose us to potential liabilities arising out of state and federal fraudulent conveyance laws and legal dividend requirements.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spin-off could be challenged under various state and federal fraudulent conveyance laws. Fraudulent conveyances or transfers are generally defined to include (a) transfers made or obligations incurred with the actual intent to hinder, delay or defraud current or future creditors or (b) transfers made or obligations incurred for less than reasonably equivalent value when the debtor was insolvent, or that rendered the debtor insolvent, inadequately capitalized or unable to pay its debts as they become due. A creditor or an entity acting on behalf of a creditor could bring a lawsuit alleging that the spin-off or any of the related transactions constituted a fraudulent conveyance. If a court were to accept these allegations, it could impose substantial liabilities on us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58" w:name="page59"/>
    <w:bookmarkEnd w:id="58"/>
    <w:p>
      <w:pPr>
        <w:ind w:right="5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void all or certain portions of the internal reorganization transactions or agreements between us and Middleby related to the spin-off, which could adversely affect our financial condition and results of operations.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distribution of SpinCo common stock is also subject to state corporate distribution statutes. Under the DGCL, a corporation may only pay a distribution of common stock to its stockholders either (i) out of the corporation’s surplus (net assets minus capital) or (ii) if there is no such surplus, out of the corporation’s net profits for the fiscal year in which the dividend is declared and/or the preceding fiscal year. Although the Middleby Board intends to make the distribution of SpinCo common stock entirely out of Middleby’s surplus and will receive an opinion that Middleby has adequate surplus under Delaware law to declare the dividend of our common stock in connection with the distribution, there can be no assurance that a court will not later determine that some or all of the distribution was unlawful.</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spin-off, certain of our executive officers and directors may have actual or potential conflicts of interest because of their previous positions at Middleby.</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Following the spin-off, the SpinCo Board will consist of a majority of directors who are independent, and any of our expected executive officers who are currently employees of Middleby will cease to be employees of Middleby upon the spin-off. However, because of their current or former positions with Middleby, some of our expected executive officers and directors will continue to have a financial interest in shares of Middleby common stock and equity awards following the spin-off. This continuing ownership of shares of Middleby common stock and equity awards could create, or appear to create, potential conflicts of interest if we and Middleby pursue the same corporate opportunities or face decisions that could have different implications for us and Middleby.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received better terms from unaffiliated third parties than the terms we will receive in our agreements with Middleby.</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agreements we will enter into with Middleby in connection with the spin-off (as described in the section of this information statement entitled “Certain Relationships and Related Transactions—Material Agreements with Middleby”) were prepared in the context of the spin-off while we were still a wholly owned subsidiary of Middleby. Accordingly, during the period in which the terms of those agreements were prepared, we did not have a board of directors or management team that was independent of Middleby. While we believe the terms of the agreements reflect arm’s length terms, there can be no assurance that we would not have received better terms from unaffiliated third parties than the terms we will receive in our agreements with Middleby. For more information, see the section of this information statement entitled “Certain Relationships and Related Transactions—Material Agreements with Middleby.”</w:t>
      </w:r>
    </w:p>
    <w:p>
      <w:pPr>
        <w:spacing w:after="0" w:line="29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contracts and other assets which will need to be transferred or assigned from Middleby or its affiliates to us in connection with the spin-off may require the consent of a third party. If such consent is not given, we may not be entitled to the benefit of such contracts and other assets in the future, which could adversely impact our financial condition and future results of operations.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spin-off, a number of contracts and licenses with third parties and other assets are to be transferred or assigned from (x) Middleby or its affiliates to us or our anticipated subsidiaries or (y) us or our affiliates to Middleby or its subsidiaries. However, the transfer or assignment of certain of these contracts, licenses or assets may require the consent of a third party. Similarly, in some circumstances, we and another business unit of Middleby are joint beneficiaries of contracts, and we or Middleby will need to (x) enter into a new agreement with the third party to replicate the existing contract, (y) be assigned and delegated the portion of the existing contract related to the applicable business or (z) use commercially reasonable efforts to provide for an alternative arrangement to obtain the same or reasonably similar benefits and burdens of the applicable portion of the existing contract. It is possible that some parties may use the requirement of a consent or the fact that the spin-off is occurring to seek more favorable contractual terms from us, to terminate the contract or license or to otherwise request additional accommodations, commitments or other agreements from us. If we are unable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70" w:right="439" w:bottom="1440" w:gutter="0" w:footer="0" w:header="0"/>
        </w:sectPr>
      </w:pPr>
    </w:p>
    <w:bookmarkStart w:id="59" w:name="page60"/>
    <w:bookmarkEnd w:id="59"/>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obtain such consents on commercially reasonable and satisfactory terms or if the contracts are terminated, we may be unable to obtain the benefits, assets and contractual commitments which are intended to be allocated to us as part of the spin-off. The failure to timely complete the assignment of existing contracts, licenses or assets, the negotiation of new arrangements or the termination of any of those arrangements could have a material adverse impact on our business, financial condition, results of operations, cash flows and prospects. To the extent we require a specific arrangement and agree to less favorable terms in connection with obtaining any consent to retain that arrangement, the basis for that arrangement may be less favorable than currently held by Middleby and could adversely impact our business, financial condition, results of operations, cash flows and prospects. In addition, where we do not intend to obtain consent from third-party counterparties based on our belief that no consent is required, the third-party counterparties may challenge a transfer of assets on the basis that the terms of the applicable commercial arrangements require the third-party counterparties’ consent. We may incur substantial litigation and other costs in connection with any such claims and, if we do not prevail, our ability to use these assets could be materially and adversely impacted.</w:t>
      </w:r>
    </w:p>
    <w:p>
      <w:pPr>
        <w:spacing w:after="0" w:line="2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cash flow from operations is less than we anticipate, or if our cash requirements are more than we expect, we may require additional access to capital and may need to incur additional debt or raise additional funds.</w:t>
      </w:r>
    </w:p>
    <w:p>
      <w:pPr>
        <w:spacing w:after="0" w:line="5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If our cash flow from operations is less than we anticipate, or if our cash requirements are more than we expect, we may require additional access to capital and may need to incur additional debt or raise additional funds. However, debt or equity financing may not be available to us on terms acceptable or favorable to us, if at all, and will depend on a number of factors, many of which are beyond our control, such as the state of the credit and financial markets and other economic, financial and geopolitical factors. If we incur additional debt or raise capital through the issuance of preferred stock, the terms of the debt or preferred stock issued may give the holders thereof rights, preferences and privileges senior to those of holders of SpinCo common stock, particularly in the event of liquidation. The terms of such debt may also impose additional and more stringent restrictions on our operations than we are currently subject to. If we raise funds through the issuance of additional equity, your percentage ownership in us would be diluted. If we are unable to raise additional capital when needed, it could affect our financial condition, which could adversely impact your investment in us.</w:t>
      </w:r>
    </w:p>
    <w:p>
      <w:pPr>
        <w:spacing w:after="0" w:line="27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spin-off, the value of your common stock in Middleby and SpinCo may collectively trade at an aggregate price less than what Middleby common stock might have traded at had the spin-off not occurred.</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common stock of Middleby and SpinCo that you may hold following the spin-off may collectively trade (taking into account the distribution ratio) at a value less than the price at which Middleby common stock might have traded had the spin-off not occurred or was trading prior to the spin-off. Reasons for this potential difference include the future performance of either Middleby or SpinCo as separate, independent companies, the future stockholder base and market for Middleby common stock and SpinCo common stock and the prices at which these shares individually trade.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Until the distribution occurs, Middleby has the sole discretion to change the terms of the spin-off in ways which may be unfavorable to us.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Completion of the distribution will be contingent upon the satisfaction or waiver of customary conditions, including, among other things, the effectiveness of appropriate filings with the SEC. For a more detailed description of these conditions, see the section of this information statement entitled “The Separation and Distribution—General—Conditions to the Distribution.” Until the distribution occurs, Middleby will have the sole and absolute discretion to determine and change the terms of the spin-off, including the allocation of assets and liabilities, the establishment of the record date for the distribution and distribution date, the conditions to the distribution and all other terms. These changes could be unfavorable to us. In addition, until the spin-off has occurred, Middleby has the right not to complete the spin-off, even if all the conditions have been satisfied, if, at any time prior to the distribution, the Middleby Board determines, in its sole discretion, that the spin-off is not in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0" w:name="page61"/>
    <w:bookmarkEnd w:id="60"/>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 We cannot provide any assurances that the distribution will be completed.</w:t>
      </w:r>
    </w:p>
    <w:p>
      <w:pPr>
        <w:spacing w:after="0" w:line="28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entities or assets that are part of our separation from Middleby may not be transferred to us or may not be transferred to Middleby, as applicable, prior to the distribution or at all.</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entities and assets that are part of our separation from Middleby may not be transferred prior to the distribution because the entities or assets, as applicable, are subject to governmental or third-party approvals that we may not receive prior to the distribution. It is currently anticipated that all material transfers will occur without material delays beyond the distribution, but we cannot offer any assurance that such transfers will ultimately occur or not be delayed for an extended period of time. To the extent such transfers do not occur prior to the distribution, under the separation and distribution agreement, the benefits and burdens of owning such assets and/or entities will, to the extent reasonably possible and permitted by applicable law, be provided to the applicable party.</w:t>
      </w:r>
    </w:p>
    <w:p>
      <w:pPr>
        <w:spacing w:after="0" w:line="18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the event such transfers do not occur or are significantly delayed because we do not receive the required approvals, we may not realize all of the anticipated benefits of our separation from Middleby and we may be dependent on Middleby for transition services for a longer period of time than would otherwise be the case.</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separation could give rise to disputes or other unfavorable effects, which could materially and adversely affect our business, financial condition, results of operations, cash flows and prospects.</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separation may lead to increased operating and other expenses, of both a nonrecurring and a recurring nature, and to changes to certain operations. Such increased expenses and changes to operations could arise pursuant to arrangements made between Middleby and us or could trigger contractual rights of, and obligations to, third parties. Disputes with third parties could also arise out of these transactions, and we could experience unfavorable reactions to the separation from employees, lenders, ratings agencies, regulators or other interested parties. These increased expenses, changes to operations, disputes with third parties or other effects could materially and adversely affect our business, financial condition, results of operations, cash flows and prospects. In addition, following the separation, disputes with Middleby could arise in connection with one or more of the ancillary agreements or certain other agreements.</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directors, Timothy J. FitzGerald, will also serve as a director and the Chief Executive Officer of Middleby, which overlap may give rise to conflicts.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Following the distribution, one of our directors, Timothy J. FitzGerald, will also serve as a director and the Chief Executive Officer of Middleby. Mr. FitzGerald may have actual or apparent conflicts of interest with respect to matters involving or affecting each of Middleby and SpinCo. For example, there will be the potential for a conflict of interest when we on the one hand, and Middleby and its respective subsidiaries and successors on the other hand, are party to commercial transactions concerning the same or adjacent investments. In addition, after the distribution, Mr. FitzGerald will own shares or equity awards of Middleby. These ownership interests could create actual, apparent or potential conflicts of interest when Mr. FitzGerald is faced with decisions that could have different implications for us and Middleby. See “Certain Relationships and Related Transactions—Procedures for Approval of Related Person Transactions” for a discussion of certain procedures we will institute to help ameliorate such potential conflicts that may arise.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separation may result in disruptions to relationships with customers, suppliers and other business partners.</w:t>
      </w:r>
    </w:p>
    <w:p>
      <w:pPr>
        <w:spacing w:after="0" w:line="12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While we intend to manage our operations to minimize any disruptions to our customers, suppliers and business partners, uncertainty related to the separation may nevertheless lead to disruption in those relationships. These disruptions, if not managed by us, could have an adverse effect on our business, financial condition, results of operations, cash flows and prospects.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separation, we may be unable to make, on a timely or cost-effective basis, the changes necessary to operate as an independent company.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completion of the separation, we may not have the infrastructure or personnel necessary to operate as an independent company without relying on Middleby to provide certain services on an ongoing basis. We may need additional personnel or third-party service providers to successfully operate our business. Upon the completion of the separation, we will enter into a transition services agreement with Middleby pursuant to which we will provide certain services to Middleby, and Middleby will provide certain services to us, to allow us to continue to operate in substantially the same manner following the separation and to benefit from the continuation of certain services for a certain amount of time post-separation and certain cost efficiencies in sharing certain resources and personnel. Because our business has not been operated as a separate company, we cannot assure you that we will be able to successfully implement the infrastructure or retain or hire the personnel necessary to operate as a separate company or that we will not incur costs in excess of anticipated costs to establish such infrastructure and retain or hire such personnel.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SpinCo Common Stock</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that an active trading market for SpinCo common stock will develop or be sustained after the spin-off, and, following the spin-off, our stock price may fluctuate significantly.</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public market for SpinCo common stock does not currently exist. We expect that shortly before the distribution date, trading of shares of SpinCo common stock will begin on a “when-issued” basis on Nasdaq and will continue through the distribution date. However, we cannot guarantee that an active trading market will develop or be sustained for SpinCo common stock after the spin-off. Nor can we predict the prices at which shares of SpinCo common stock may trade after the spin-off.</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Similarly, we cannot predict the effect of the spin-off on the trading prices of SpinCo common stock. Subject to the completion of the spin-off, we have received approval to list SpinCo common stock on Nasdaq under the symbol “MFP.” The combined trading prices of Middleby common stock and SpinCo common stock after the separation, as adjusted for any changes in the combined capitalization of these companies, may not be equal to or greater than the trading price of Middleby common stock prior to the spin-off. Until the market has fully evaluated the business of Middleby without our business, or fully evaluated us, the price at which Middleby common stock or SpinCo common stock trades may fluctuate significantly.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SpinCo common stock may fluctuate significantly due to a number of factors, some of which may be beyond our control, including:</w:t>
      </w:r>
    </w:p>
    <w:p>
      <w:pPr>
        <w:spacing w:after="0" w:line="131" w:lineRule="exact"/>
        <w:rPr>
          <w:sz w:val="20"/>
          <w:szCs w:val="20"/>
          <w:color w:val="auto"/>
        </w:rPr>
      </w:pPr>
    </w:p>
    <w:p>
      <w:pPr>
        <w:jc w:val="both"/>
        <w:ind w:left="960" w:right="380" w:hanging="424"/>
        <w:spacing w:after="0" w:line="266"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profile, market capitalization or capital allocation policies may not fit the investment objectives of pre-spin-off Middleby stockholders, causing a shift in our investor base, and SpinCo common stock may not be included in some indices in which Middleby common stock is included, causing certain holders to sell their shares;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its industry;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SpinCo common stock after the spin-off;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forward looking guidance;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 and domestic and worldwide economic conditions;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“Risk Factors” section and elsewhere in this information statement.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66" w:right="459" w:bottom="1440" w:gutter="0" w:footer="0" w:header="0"/>
        </w:sectPr>
      </w:pPr>
    </w:p>
    <w:bookmarkStart w:id="62" w:name="page63"/>
    <w:bookmarkEnd w:id="6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markets in general have experienced volatility that often has been unrelated or disproportionate to the operating performance of the affected companies. Broad market and industry factors may materially harm the market price of SpinCo common stock, regardless of our operating performance. In the past, following periods of volatility in the overall market and in the market price of a company’s securities, stockholder derivative lawsuits and/or securities class action litigation has often been instituted against such company. Such litigation, if instituted against us, could result in substantial costs and a diversion of management’s attention and resources.</w:t>
      </w:r>
    </w:p>
    <w:p>
      <w:pPr>
        <w:spacing w:after="0" w:line="18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addition, investors may have difficulty accurately valuing SpinCo common stock. Investors often value companies based on the stock prices and results of operations of other comparable companies. Investors may find it difficult to find comparable companies and to accurately value SpinCo common stock, which may cause the trading price of SpinCo common stock to fluctuate.</w:t>
      </w:r>
    </w:p>
    <w:p>
      <w:pPr>
        <w:spacing w:after="0" w:line="28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sales of substantial amounts of shares of SpinCo common stock in the public market, or the perception that such sales might occur, in connection with the distribution or otherwise, may cause the market price of SpinCo common stock to decline.</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completion of the distribution, we expect that we will have an aggregate of 45,214,588 shares of SpinCo common stock issued and outstanding, based upon 45,214,588 shares of Middleby common stock outstanding as of May 21, 2026. The shares of SpinCo common stock will be freely tradeable without restriction or further registration under the Securities Act of 1933, as amended (the “Securities Act”), unless the shares are owned by one of our “affiliates,” as that term is defined in Rule 405 under the Securities Act.</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unable to predict whether large amounts of SpinCo common stock will be sold in the open market following the spin-off. We are also unable to predict whether a sufficient number of buyers would be in the market at that time. As a result, the price of SpinCo common stock may decline or experience volatility as our stockholder base changes. Whether related to the foregoing or otherwise, sales of substantial amounts of shares of SpinCo common stock in the public market following the spin-off, or the perception that such sales might occur, may cause the market price of SpinCo common stock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stockholders falls within the discretion of the SpinCo Board and will depend on many factors, including our financial condition, earnings, capital requirements of our business and covenants associated with debt obligations, as well as legal requirements, regulatory constraints, industry practice and other factors that the SpinCo Board deems relevant. We do not intend to, and there can be no assurance that we will, pay any dividend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SpinCo may be diluted in the future.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Your percentage ownership in SpinCo may be diluted because of equity issuances for acquisitions, capital market transactions or otherwise, including, without limitation, equity awards that we may grant to our directors, officers and employees.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will authorize us to issue, without the approval of our stockholders, one or more classes or series of preferred stock having such designation, powers, preferences and relative, participating, optional and other special rights, including preferences over SpinCo common stock respecting dividends and distributions, as the SpinCo Board generally may determine. The terms of one or more classes or series of preferred stock could dilute the voting power or reduce the value of SpinCo common stock. For example, we could grant the holders of preferred stock the right to elect some number of our directors in all events or on the happening of specified events or to veto specified transactions. Similarly, the repurchase or redemption rights or liquidation preferences we could assign to holders of preferred stock could affect the residual value of SpinCo common stock. See the section entitled “Description of Capital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63" w:name="page64"/>
    <w:bookmarkEnd w:id="63"/>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are eligible to be treated as an “emerging growth company” as defined in the JOBS Act, and we cannot be certain if the reduced disclosure requirements applicable to emerging growth companies will make SpinCo common stock less attractive to investors.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 of exemptions from various reporting requirements that are applicable to other public companies that are not emerging growth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(1) not being required to comply with the auditor attestation requirements of Section 404 of the Sarbanes-Oxley Act, (2) reduced 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regarding executive compensation in our periodic reports and proxy statements and (3) exemptions from the requirements of holding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nonbinding advisory vote on executive compensation and stockholder approval of any golden parachute payments not previously approved. We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an emerging growth company until the earliest of (i) the last day of the fiscal year following the fifth anniversary of our first sale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under a Securities Act registration statement, (ii) the last day of the fiscal year in which we have total annual gross revenue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billion, (iii) the last day of the fiscal year on which we are deemed to be a “large accelerated filer” under the Exchange Act and (iv) the date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 have issued more than $1 billion in non-convertible debt securities during the prior three-year period. Even after we no longer qualify 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we may still qualify as a “smaller reporting company” which would allow us to take advantage of many of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exemptions from disclosure requirements, including not being required to comply with the auditor attestation requirements of Section 404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not being required to provide selected financial data in the information statements and periodic reports that we file with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reduced disclosure obligations regarding executive compensation in our periodic reports and proxy statements. We cannot predict if investors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find SpinCo common stock less attractive because we may rely on these exemptions. If some investors find SpinCo common stock less attractive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and if SpinCo common stock become publicly traded, such trading market may be less active than it otherwise could be if we were not to take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 of such exemptions, and our share price may be more volatile.</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irrevocably elected to take advantage of this extended transition period, and therefore, our financial statements may not be comparable to those of companies that comply with such new or revised accounting standards.</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amended and restated certificate of incorporation, our amended and restated bylaws and Delaware law may prevent or delay an acquisition of our company, which could decrease the market price of SpinCo common stock.</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our amended and restated bylaws and Delaware law may discourage takeovers and limit the power of our stockholders. Several provisions of our amended and restated certificate of incorporation, our amended and restated bylaws and Delaware law may discourage, delay or prevent a merger or acquisition. These provisions include, among others, provisions that:</w:t>
      </w:r>
    </w:p>
    <w:p>
      <w:pPr>
        <w:spacing w:after="0" w:line="81" w:lineRule="exact"/>
        <w:rPr>
          <w:sz w:val="20"/>
          <w:szCs w:val="20"/>
          <w:color w:val="auto"/>
        </w:rPr>
      </w:pPr>
    </w:p>
    <w:p>
      <w:pPr>
        <w:ind w:left="960" w:right="160" w:hanging="424"/>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two-thirds of our stockholders to approve any agreement or plan providing for the dissolution, liquidation, merger or consolidation of SpinCo or the sale, lease or transfer of substantially all of its assets;</w:t>
      </w:r>
    </w:p>
    <w:p>
      <w:pPr>
        <w:spacing w:after="0" w:line="67" w:lineRule="exact"/>
        <w:rPr>
          <w:rFonts w:ascii="Times New Roman" w:cs="Times New Roman" w:eastAsia="Times New Roman" w:hAnsi="Times New Roman"/>
          <w:sz w:val="18"/>
          <w:szCs w:val="18"/>
          <w:color w:val="auto"/>
        </w:rPr>
      </w:pPr>
    </w:p>
    <w:p>
      <w:pPr>
        <w:ind w:left="960" w:right="200" w:hanging="424"/>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SpinCo Board the authority to issue, without any further stockholder action or approval, one of more classes or series of preferred stock, to establish the number of shares constituting such series and to fix for each such series the designation, preferences and relative, participating, optional or other special rights, and any qualifications, limitations and restrictions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66" w:right="479" w:bottom="1440" w:gutter="0" w:footer="0" w:header="0"/>
        </w:sectPr>
      </w:pPr>
    </w:p>
    <w:bookmarkStart w:id="64" w:name="page65"/>
    <w:bookmarkEnd w:id="64"/>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 advance notice requirements for stockholder nominations and proposals; and</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ability of our directors, and not stockholders, to fill vacancies on the SpinCo Board (including those resulting from an enlargement of the SpinCo Board).</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following the distribution, we will be subject to Section 203 of the DGCL. Section 203 of the DGCL generally prohibits a publicly held Delaware corporation from engaging in a “business combination” with an “interested stockholder” for a period of three years after the date of the transaction in which the person became an interested stockholder, unless:</w:t>
      </w:r>
    </w:p>
    <w:p>
      <w:pPr>
        <w:spacing w:after="0" w:line="81" w:lineRule="exact"/>
        <w:rPr>
          <w:sz w:val="20"/>
          <w:szCs w:val="20"/>
          <w:color w:val="auto"/>
        </w:rPr>
      </w:pPr>
    </w:p>
    <w:p>
      <w:pPr>
        <w:ind w:left="960" w:right="240" w:hanging="424"/>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SpinCo Board of such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such corporation outstanding at the time the transaction commenced (excluding for purposes of determining the number of shares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SpinCo Board of such corporation and authorized at an annual or special meeting of stockholders and not by written consent, by the affirmative vote of at least 66-2/3% of the outstanding voting stock that is not owned by the interested stockholder.</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purposes of Section 203 of the DGCL, a “business combination” includes a merger, asset sale or other transaction resulting in a financial benefit to the interested stockholder, with an “interested stockholder” being defined as a person who, together with affiliates and associates, owns (or who is an affiliate or associate of the corporation and did own within three years prior to the date of determination whether the person is an “interested stockholder”) 15% or more of the corporation’s voting stock.</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corporation may elect not to be governed by Section 203 of the DGCL. Neither our amended and restated certificate of incorporation nor our amended and restated bylaws will contain the election not to be governed by Section 203 of the DGCL. Therefore, we will be governed by Section 203 of the DGCL.</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and other provisions of our amended and restated certificate of incorporation, our amended and restated bylaws and Delaware law may discourage, delay or prevent certain types of transactions involving an actual or a threatened acquisition or change in control of SpinCo, including unsolicited takeover attempts, even though the transaction may offer our stockholders the opportunity to sell their shares of SpinCo common stock at a price above the prevailing market price.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these provisions will protect our stockholders from coercive or otherwise unfair takeover tactics by requiring potential acquirers to negotiate with the SpinCo Board and by providing the SpinCo Board with more time to assess any acquisition proposal. These provisions are not intended to make us immune from takeovers. However, these provisions will apply even if the offer may be considered beneficial by some stockholders and could delay or prevent an acquisition that the SpinCo Board determines is not in our and our stockholders’ best interests. These provisions may also prevent or discourage attempts to remove and replace incumbent directors.</w:t>
      </w:r>
    </w:p>
    <w:p>
      <w:pPr>
        <w:spacing w:after="0" w:line="18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addition, an acquisition or further issuance of SpinCo common stock (or other capital stock) could trigger the application of Section 355(e) of the Code, causing the distribution to be taxable to Middleby for U.S. federal income tax purposes. For a discussion of Section 355(e) of the Code, see “Material U.S. Federal Income Tax Consequences of the Distribution.” Under the tax matters agreement, SpinCo would be required to indemnify Middleby for the resulting tax, and this indemnity obligation might discourage, delay or prevent a change of control that SpinCo stockholders may consider favorable.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5" w:name="page66"/>
    <w:bookmarkEnd w:id="65"/>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amended and restated certificate of incorporation will provide that certain courts in the State of Delaware or the federal district courts of the United States will be the sole and exclusive forum for substantially all disputes between us and our stockholders, which could limit our stockholders’ ability to bring or obtain a favorable judicial forum for such disputes and may discourage lawsuits against us and any of our directors, officers or other employees.</w:t>
      </w:r>
    </w:p>
    <w:p>
      <w:pPr>
        <w:spacing w:after="0" w:line="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will be the sole and exclusive forum for (i) any derivative action or proceeding brought on our behalf, (ii) any action asserting a claim of breach of a duty (including any fiduciary duty) owed by any of our current or former directors, officers, employees or agents to us or our stockholders, (iii) any action asserting a claim against us or any of our current or former directors or officers or employees arising pursuant to any provision of the DGCL or our amended and restated certificate of incorporation or our amended and restated bylaws, or as to which the DGCL confers jurisdiction on the Court of Chancery of the State of Delaware, or (iv) any action asserting a claim against us or any of our current or former directors or officers or employees governed by the internal affairs doctrine of the law of the State of Delaware. As described below, this provision will not apply to suits brought to enforce any duty or liability created by the Exchange Act or the rules and regulations thereunder.</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As a result, the exclusive forum provisions in our certificate of incorporation will not apply to suits brought to enforce any duty or liability created by the Exchange Act or the rules and regulations thereunder, and any actions by our stockholders to enforce any duty or liability created by the Exchange Act must be brought in federal court. Our stockholders will not be deemed to have waived our compliance with the federal securities laws and the rules and regulations thereunder.</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our exclusive forum provisions, including the federal forum provision; provided, however, that stockholders will not be deemed to have waived our compliance with the federal securities laws and the rules and regulations thereunder.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financial condition, results of operations, cash flows and prospects.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66" w:right="439" w:bottom="1440" w:gutter="0" w:footer="0" w:header="0"/>
        </w:sectPr>
      </w:pPr>
    </w:p>
    <w:bookmarkStart w:id="66" w:name="page67"/>
    <w:bookmarkEnd w:id="66"/>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price of Middleby common stock historically has been volatile, and the price of SpinCo common stock may be volatile as well. This volatility may affect the price at which you could sell SpinCo common stock, and the sale of substantial amounts of SpinCo common stock could adversely affect the price of SpinCo common stock.</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market price of Middleby common stock has been volatile, and the price of SpinCo common stock may also be volatile. This volatility may affect the price at which you could sell SpinCo common stock. The price of SpinCo common stock may be subject to significant price and volume fluctuations in response to market and other factors, including:</w:t>
      </w:r>
    </w:p>
    <w:p>
      <w:pPr>
        <w:spacing w:after="0" w:line="81" w:lineRule="exact"/>
        <w:rPr>
          <w:sz w:val="20"/>
          <w:szCs w:val="20"/>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those resulting from the seasonality and cyclicality of our business;</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introduced by us or our competitors;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competitors, such as acquisitions and restructurings;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responses to the announcement of the separation;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of severe pricing pressures due to oversupply or price erosion resulting from competitive pressures or industry consolidation;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proprietary rights, and any litigation;</w:t>
      </w:r>
    </w:p>
    <w:p>
      <w:pPr>
        <w:spacing w:after="0" w:line="130"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or adopted regulatory changes or developments or anticipated or pending investigations, proceedings or litigation that involve or affect us or our competitors;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contraction in our operating results or growth rates that are lower than our previous high growth rate periods;</w:t>
      </w:r>
    </w:p>
    <w:p>
      <w:pPr>
        <w:spacing w:after="0" w:line="130" w:lineRule="exact"/>
        <w:rPr>
          <w:rFonts w:ascii="Times New Roman" w:cs="Times New Roman" w:eastAsia="Times New Roman" w:hAnsi="Times New Roman"/>
          <w:sz w:val="18"/>
          <w:szCs w:val="18"/>
          <w:color w:val="auto"/>
        </w:rPr>
      </w:pPr>
    </w:p>
    <w:p>
      <w:pPr>
        <w:ind w:left="960" w:right="960" w:hanging="424"/>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dividends and share repurchases;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that affect the market generally and, in particular, developments related to market conditions for our industry.</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sale of substantial amounts of shares of SpinCo common stock, or the perception that these sales may occur, could adversely affect the market price of SpinCo common stock. Further, the stock market is subject to fluctuations in the stock prices and trading volumes that affect the market prices of the stock of public companies, including us. These broad market fluctuations may adversely affect the market price of shares of SpinCo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1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Securities class action lawsuits are often brought against companies after periods of volatility in the market price of their securities, and any such lawsuits filed against us could result in substantial costs and a diversion of resources and management’s attention.</w:t>
      </w:r>
    </w:p>
    <w:p>
      <w:pPr>
        <w:spacing w:after="0" w:line="266"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No vote of the Middleby stockholders is required in connection with the separation and distribution. As a result, if you do not want to receive SpinCo common stock in the distribution, your sole recourse will be to divest yourself of your Middleby common stock prior to or on the distribution date.</w:t>
      </w:r>
    </w:p>
    <w:p>
      <w:pPr>
        <w:spacing w:after="0" w:line="2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 vote of Middleby stockholders is required or being sought in connection with the separation and distribution. Accordingly, if you do not want to receive SpinCo common stock in the distribution, your only recourse will 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66" w:right="479" w:bottom="1440" w:gutter="0" w:footer="0" w:header="0"/>
        </w:sectPr>
      </w:pPr>
    </w:p>
    <w:bookmarkStart w:id="67" w:name="page68"/>
    <w:bookmarkEnd w:id="67"/>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divest yourself of your Middleby common stock prior to or on the distribution date. You may also choose to divest shares of SpinCo common stock you receive in the distribution following the distribution.</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downgrade their recommendations regarding SpinCo common stock, our stock price and trading volume could decline.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SpinCo common stock will be influenced by the research and reports that industry or securities analysts publish about us or our business. If any of the analysts who may cover us downgrade SpinCo common stock or publish inaccurate or unfavorable research about our business, our stock price may decline. If analysts cease coverage of us or fail to regularly publish reports on us, we could lose visibility in the financial markets, which in turn could cause our stock price or trading volume to decline and SpinCo common stock to be less liquid.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40"/>
          </w:cols>
          <w:pgMar w:left="440" w:top="270" w:right="619" w:bottom="1440" w:gutter="0" w:footer="0" w:header="0"/>
        </w:sectPr>
      </w:pPr>
    </w:p>
    <w:bookmarkStart w:id="68" w:name="page69"/>
    <w:bookmarkEnd w:id="6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information statement and other materials Middleby and SpinCo have filed or will file with the SEC contain, or will contain, “forward-looking statements” within the meaning of the Private Securities Litigation Reform Act of 1995, Section 27A of the Securities Act and Section 21E of the Exchange Act. The words “believe,” “expect,” “anticipate,” “plan,” “intend,” “foresee,” “predict,” “budget,” “should,” “would,” “could,” “attempt,” “appears,” “forecast,” “outlook,” “estimate,” “continue,” “project,” “projection,” “goal,” “model,” “target,” “potential,” “may,” “will,” “objective,” “guidance,” “outlook,” “effort,” “are likely,” “strive,” “focused,” “aim,” “estimates” and other similar expressions are intended to identify forward-looking statements, which are generally not historical in nature and convey the uncertainty of future events or outcomes, although not all forward-looking statements contain such identifying words. Statements contained herein concerning the business outlook or future economic performance, cash flow generation and liquidity, anticipated profitability, revenues, expenses, dividends or other financial items, ability to deliver increased value to customers and stockholders and products or services line growth of SpinCo, together with other statements that are not historical facts, are forward-looking statements that are estimates reflecting the best judgment of SpinCo based upon currently available information. Statements concerning current conditions may also be forward-looking if they imply a continuation of current conditions.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Such forward-looking statements are inherently uncertain, and stockholders and other potential investors must recognize that actual results may differ materially from SpinCo’s expectations as a result of a variety of factors, including, without limitation, those discussed below. These forward-looking statements are based upon management’s current expectations and include known and unknown risks, uncertainties and other factors, many of which SpinCo is unable to predict or control, that may cause actual results, performance or plans to differ materially from those expressed or implied by such forward-looking statements, including:</w:t>
      </w:r>
    </w:p>
    <w:p>
      <w:pPr>
        <w:spacing w:after="0" w:line="89" w:lineRule="exact"/>
        <w:rPr>
          <w:sz w:val="20"/>
          <w:szCs w:val="20"/>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market conditions;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earnings resulting from goodwill impairment losses, which may occur irregularly and in varying amounts;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financing costs;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operating results;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SpinCo’s foreign operations, including market acceptance and demand for SpinCo’s products and SpinCo’s ability to manage the risk associated with the exposure to foreign currency exchange rate fluctuations;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SpinCo’s ability to protect its trademarks, copyrights and other intellectual property;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competitive products and pricing;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announced management and organizational changes;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law changes and tax authority rulings;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 and other breaches in security;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development and market acceptance of SpinCo’s products;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changing food consumption patterns;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raw materials;</w:t>
      </w:r>
    </w:p>
    <w:p>
      <w:pPr>
        <w:spacing w:after="0" w:line="130"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inflation, tariff-related challenges, slower growth or recession, delays or disruptions in the global supply chain, higher interest rates and wars and other conflicts, including the current conflicts between Russia and Ukraine and the United States and Iran; and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20"/>
          </w:cols>
          <w:pgMar w:left="440" w:top="266" w:right="539" w:bottom="1440" w:gutter="0" w:footer="0" w:header="0"/>
        </w:sectPr>
      </w:pPr>
    </w:p>
    <w:bookmarkStart w:id="69" w:name="page70"/>
    <w:bookmarkEnd w:id="69"/>
    <w:p>
      <w:pPr>
        <w:ind w:left="960" w:right="680" w:hanging="424"/>
        <w:spacing w:after="0" w:line="266"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risks and uncertainties listed under the sections entitled “Summary of the Separation and Distribution,” “Risk Factors,” “Management’s Discussion and Analysis of Financial Condition and Results of Operations,” “Business” and “The Separation and Distribution.”</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speak only as of the date hereof, and SpinCo undertakes no obligation to update these forward-looking statements to reflect new information or 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related to the spin-off include, but are not limited to:</w:t>
      </w:r>
    </w:p>
    <w:p>
      <w:pPr>
        <w:spacing w:after="0" w:line="131" w:lineRule="exact"/>
        <w:rPr>
          <w:sz w:val="20"/>
          <w:szCs w:val="20"/>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operating results of the stand-alone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creation associated with the separation and stand-alone business;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qualification of the spin-off as a tax-free transaction for U.S. federal income tax purposes;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relationship of the two businesses post-separation;</w:t>
      </w:r>
    </w:p>
    <w:p>
      <w:pPr>
        <w:spacing w:after="0" w:line="130" w:lineRule="exact"/>
        <w:rPr>
          <w:rFonts w:ascii="Times New Roman" w:cs="Times New Roman" w:eastAsia="Times New Roman" w:hAnsi="Times New Roman"/>
          <w:sz w:val="18"/>
          <w:szCs w:val="18"/>
          <w:color w:val="auto"/>
        </w:rPr>
      </w:pPr>
    </w:p>
    <w:p>
      <w:pPr>
        <w:ind w:left="960" w:right="340" w:hanging="424"/>
        <w:spacing w:after="0" w:line="26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spin-off will be completed on the expected terms and on the anticipated timeline or at all, including the possibility that the conditions to the spin-off may not be satisfied, including that a governmental entity may prohibit, delay or refuse to grant a necessary approval;</w:t>
      </w:r>
    </w:p>
    <w:p>
      <w:pPr>
        <w:spacing w:after="0" w:line="81"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and costs of the spin-off, including that the expected benefits will not be realized within the expected time frame, in full or at all;</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reactions or changes to SpinCo’s business relationships with their respective customers, suppliers or other partners resulting from the announcement and completion of the spin-off;</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responses to the announcement or completion of the spin-off;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on SpinCo’s stock prices resulting from the announcement or completion of the spin-off;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charges or expenses resulting from the spin-off;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relating to the spin-off;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retain key personnel of SpinCo as a result of the spin-off;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management time from ongoing business operations due to the spin-off;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impact of geopolitical conflicts;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general economic and/or industry-specific conditions.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the factors set forth above, the spin-off is subject to other economic, competitive, legal, governmental, technological and other factors that may affect the spin-off and SpinCo’s plans, results or stock price and which are set forth under the sections entitled “Summary of the Separation and Distribution,” “Risk Factors,” “Management’s Discussion and Analysis of Financial Condition and Results of Operations,” “Business” and “The Separation and Distribution.” Many of these factors are beyond SpinCo’s control. SpinCo cautions investors that any forward-looking statements made by SpinCo are not guarantees of future performance. SpinCo does not intend, or undertake any obligation, to publish revised forward-looking statements to reflect events or circumstances after the date of this document or to reflect the occurrence of unanticipated events.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SEPARATION AND DISTRIBUTION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25, 2025, Middleby announced its intent to separate the Food Processing business into a standalone public company through a distribution of SpinCo common stock to Middleby stockholders. SpinCo will operate the Food Processing business, and Middleby will continue to operate the Commercial Foodservice business. Middleby intends to effect the spin-off pursuant to an internal reorganization followed by a pro rata distribution of all of the shares of SpinCo common stock held by Middleby to holders of shares of Middleby common stock, subject to certain conditions. The distribution of SpinCo common stock is expected to take place on or about July 6, 2026. On the distribution date, each Middleby stockholder will receive one share of SpinCo common stock for every one share of Middleby common stock held of record by such Middleby stockholder as of 4:00 p.m. Central Time on June 26, 2026, the record date for the distribution. SpinCo will be a separate, publicly traded company. You will not be required to make any payment, surrender or exchange your Middleby common stock or take any other action to receive your shares of SpinCo common stock to which you are entitled on the distribution date. The number of shares you own of Middleby will not change as a result of the spin-off. On the distribution date, Middleby will not hold any shares of SpinCo common stock.</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distribution of SpinCo common stock as described in this information statement is subject to the satisfaction or waiver of certain conditions. Until the spin-off has occurred, Middleby has the right not to complete the spin-off, even if all the conditions have been satisfied, if, at any time 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 We cannot provide any assurances that the distribution will be completed. For a more detailed description of these conditions, see the section of this information statement entitled “The Separation and Distribution— General—Conditions to the Distribution.”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the Spin-Off</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Middleby has made significant strides in creating a leading Commercial Foodservice business while continuing to strengthen and grow the Food Processing business. To enhance the growth of each of these businesses, the Middleby Board approved a plan to separate Middleby and SpinCo into two independent, publicly traded companies. The spin-off will create two strong, stand-alone businesses, each of which will have leading positions in the markets they serve and will be better positioned to deliver long-term growth and sustainable value creation for Middleby and SpinCo:</w:t>
      </w:r>
    </w:p>
    <w:p>
      <w:pPr>
        <w:spacing w:after="0" w:line="85" w:lineRule="exact"/>
        <w:rPr>
          <w:sz w:val="20"/>
          <w:szCs w:val="20"/>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focus on the remaining Commercial Foodservice business;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will hold the Food Processing business.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Middleby Board believes that separating the Food Processing business from the remainder of Middleby and distributing shares of SpinCo common stock to Middleby stockholders will create value for Middleby and SpinCo through the following benefits:</w:t>
      </w:r>
    </w:p>
    <w:p>
      <w:pPr>
        <w:spacing w:after="0" w:line="67" w:lineRule="exact"/>
        <w:rPr>
          <w:sz w:val="20"/>
          <w:szCs w:val="20"/>
          <w:color w:val="auto"/>
        </w:rPr>
      </w:pPr>
    </w:p>
    <w:p>
      <w:pPr>
        <w:ind w:left="960" w:right="160" w:hanging="42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chapter of growth for highly successful but inherently different businesses that will benefit from a renewed focus on individual core strategies, driving a full valuation in line with best-in-class peers for each of Middleby and SpinCo.</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market-leading businesses, recognized as technology-driven product innovators in their respective industries.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the Food Processing business to be valued in-line with key food processing peers.</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each of Middleby and SpinCo to implement an optimized capital structure and capital allocation policy, best supporting growth opportunities for their respective businesses.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66" w:right="459" w:bottom="1440" w:gutter="0" w:footer="0" w:header="0"/>
        </w:sectPr>
      </w:pPr>
    </w:p>
    <w:bookmarkStart w:id="71" w:name="page72"/>
    <w:bookmarkEnd w:id="71"/>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Creating financial flexibility to pursue optimal growth strategies throughout investment cycles.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financial and strategic impact of M&amp;A for each business.</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greater exposure to and deeper understanding of each of Middleby’s and SpinCo’s standalone growth story, business strategies and performance, aligned with respective macroeconomic trends.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boards of directors and management teams with deep domain expertise.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Middleby Board also considered potentially negative factors in evaluating the spin-off, including:</w:t>
      </w:r>
    </w:p>
    <w:p>
      <w:pPr>
        <w:spacing w:after="0" w:line="131" w:lineRule="exact"/>
        <w:rPr>
          <w:sz w:val="20"/>
          <w:szCs w:val="20"/>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increased aggregate ongoing administrative costs for the two companies operating on a stand-alone basis post-spin-off.</w:t>
      </w:r>
    </w:p>
    <w:p>
      <w:pPr>
        <w:spacing w:after="0" w:line="130"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and Middleby currently take advantage of pre-spin-off Middleby’s size and purchasing power in procuring certain goods and services. After the spin-off, as standalone companies, SpinCo and/or Middleby may be unable to obtain these goods and services at prices or on terms as favorable as those currently obtained by pre-spin-off Middleby.</w:t>
      </w:r>
    </w:p>
    <w:p>
      <w:pPr>
        <w:spacing w:after="0" w:line="81" w:lineRule="exact"/>
        <w:rPr>
          <w:rFonts w:ascii="Times New Roman" w:cs="Times New Roman" w:eastAsia="Times New Roman" w:hAnsi="Times New Roman"/>
          <w:sz w:val="18"/>
          <w:szCs w:val="18"/>
          <w:color w:val="auto"/>
        </w:rPr>
      </w:pPr>
    </w:p>
    <w:p>
      <w:pPr>
        <w:jc w:val="both"/>
        <w:ind w:left="960" w:right="160" w:hanging="424"/>
        <w:spacing w:after="0" w:line="266"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costs we expect to incur related to the spin-off and in connection with the transition to becoming a stand-alone public company that are likely to include, among others, professional services costs, tax expense, recruiting and other costs associated with hiring for two stand-alone corporate structures and costs to separate IT systems and create two separate stand-alone IT structures.</w:t>
      </w:r>
    </w:p>
    <w:p>
      <w:pPr>
        <w:spacing w:after="0" w:line="81"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execution risks related to the spin-off, including disruption to the business as a result of the spin-off and the possibility that SpinCo and/or Middleby do not achieve the expected benefits of the spin-off for a variety of reasons.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may divert management’s time and attention, which could have a material adverse effect on the business, results of operations, financial condition and cash flows of SpinCo and/or Middleby.</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spin-off, SpinCo and/or Middleby may be more susceptible to market fluctuations and other events particular to one or more of their products than they currently are as pre-spin-off Middleby.</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reduced business diversification, with each post-spin-off company operating in fewer industries, could increase the volatility of earnings and cash flow.</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liabilities that were otherwise less significant to pre-spin-off Middleby could be more significant to Middleby and/or SpinCo after the spin-off as smaller, stand-alone companies.</w:t>
      </w:r>
    </w:p>
    <w:p>
      <w:pPr>
        <w:spacing w:after="0" w:line="67" w:lineRule="exact"/>
        <w:rPr>
          <w:rFonts w:ascii="Times New Roman" w:cs="Times New Roman" w:eastAsia="Times New Roman" w:hAnsi="Times New Roman"/>
          <w:sz w:val="18"/>
          <w:szCs w:val="18"/>
          <w:color w:val="auto"/>
        </w:rPr>
      </w:pPr>
    </w:p>
    <w:p>
      <w:pPr>
        <w:ind w:left="960" w:right="92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common stock and SpinCo common stock could experience selling pressure after the spin-off as certain pre-spin-off stockholders may not be interested in holding an investment in one of the two post-spin-off companies.</w:t>
      </w:r>
    </w:p>
    <w:p>
      <w:pPr>
        <w:spacing w:after="0" w:line="67" w:lineRule="exact"/>
        <w:rPr>
          <w:rFonts w:ascii="Times New Roman" w:cs="Times New Roman" w:eastAsia="Times New Roman" w:hAnsi="Times New Roman"/>
          <w:sz w:val="18"/>
          <w:szCs w:val="18"/>
          <w:color w:val="auto"/>
        </w:rPr>
      </w:pPr>
    </w:p>
    <w:p>
      <w:pPr>
        <w:ind w:left="960" w:right="160" w:hanging="424"/>
        <w:spacing w:after="0" w:line="266"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stockholders who have an investment strategy of tracking an index fund may sell the shares of SpinCo common stock that they receive in the distribution if SpinCo is not listed on the same index. As a result, the price of SpinCo common stock may decline or experience volatility as SpinCo’s stockholder base changes.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Middleby Board concluded that the potential benefits of the spin-off outweighed these factors and risks. The Middleby Board also considered these potential benefits and potentially negative factors in light of the risk that the spin-off is abandoned or otherwise not completed, resulting in Middleby not separating into two independent, publicly traded companies.</w:t>
      </w:r>
    </w:p>
    <w:p>
      <w:pPr>
        <w:spacing w:after="0" w:line="176"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 anticipated benefits of the spin-off are based on a number of assumptions, and there can be no assurance that such benefits will materialize to the extent anticipated, or at all. In the event the spin-off does not result in such benefits, the costs associated with the spin-off could have an adverse effect on each company individually and in the aggregate. For more information, see the sections of this information statement entitled “The Separation and Distribution—General—Reasons for the Spin-Off” and “Risk Factors.”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Formation of a Holding Company Prior to the Distribution and Internal Reorganization</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part of the spin-off, Middleby formed SpinCo as a corporation in Delaware on July 17, 2025, for the purpose of transferring to SpinCo certain assets and liabilities, including certain entities holding assets and liabilities, associated with the Food Processing business in anticipation of the spin-off. SpinCo has engaged in no business activities to date, and it has no material assets or liabilities of any kind, other than those incident to its formation and those incurred in connection with the spin-off. Prior to the distribution, through a series of internal reorganization transactions, (i) Middleby and its subsidiaries will transfer the assets and liabilities associated with the Food Processing business to SpinCo or certain entities which will become its subsidiaries and transfer the equity interests of certain entities holding such assets and liabilities to SpinCo and (ii) SpinCo and its subsidiaries will transfer the assets and liabilities associated with the Commercial Foodservice business that are held by SpinCo’s subsidiaries, if any, to Middleby or its subsidiaries, in each case, as set forth in the separation and distribution agreement. Middleby and its subsidiaries will also transfer all or a portion of certain other corporate and shared assets and liabilities to SpinCo (or certain entities which will become its subsidiaries) and SpinCo and its subsidiaries will also transfer all or a portion of certain other corporate and shared assets and liabilities to Middleby or its subsidiaries, in each case, pursuant to the terms of the separation and distribution agreement. Middleby will continue to hold the Commercial Foodservice business. A subsidiary of SpinCo, SpinCo OpCo, is also expected to enter into certain financing arrangements and incur certain indebtedness prior to and in connection with the spin-off, a portion of the proceeds of which will be distributed or otherwise paid by SpinCo OpCo to a subsidiary of Middleby prior to or substantially concurrently with the consummation of the spin-off. See the section of this information statement entitled “Description of Certain Indebtedness” for more information.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Reasons for Furnishing this Information Statement; Changes in the Terms of the Spin-Off</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Middleby stockholders who are entitled to receive shares of SpinCo common stock in the distribution. The information statement is not, and is not to be construed as, an inducement or encouragement to buy, hold or sell any of our securities or securities of Middleby. We believe that the information in this information statement is accurate as of the date set forth on the cover.</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Changes may occur after that date and none of us, Middleby, the SpinCo Board or the Middleby Board undertake any obligation to update such information, except as required by applicable federal securities laws.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Middleby does not intend to notify its stockholders of any modifications to the terms of the spin-off, including the waiver of any conditions to the distribution, that, in the judgment of the Middleby Board, are not material. However, the Middleby Board would likely consider material matters such as significant changes to the distribution ratio, or significant changes to the assets to be contributed or the liabilities to be assumed in the separation, as well as the waiver of the condition that the Middleby Board receives the Tax Opinion with respect to the spin-off. To the extent that the Middleby Board determines that any modification by Middleby materially changes the material terms of the spin-off, including through the waiver of a condition to the distribution, Middleby will notify Middleby stockholders in a manner reasonably calculated to inform them about the modification as may be required by law, by, for example, publishing a press release, filing a current report on Form 8-K or making available a supplement to this information statement. As of the date hereof, the Middleby Board does not intend to waive any of the conditions described herein.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Distribution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distribution of SpinCo common stock by Middleby is subject to the satisfaction or waiver of the following conditions, among others:</w:t>
      </w:r>
    </w:p>
    <w:p>
      <w:pPr>
        <w:spacing w:after="0" w:line="131" w:lineRule="exact"/>
        <w:rPr>
          <w:sz w:val="20"/>
          <w:szCs w:val="20"/>
          <w:color w:val="auto"/>
        </w:rPr>
      </w:pPr>
    </w:p>
    <w:p>
      <w:pPr>
        <w:ind w:left="960" w:right="420" w:hanging="424"/>
        <w:spacing w:after="0" w:line="312" w:lineRule="auto"/>
        <w:tabs>
          <w:tab w:leader="none" w:pos="9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 will have declared effective the registration statement of which this information statement forms a part, with no stop order relating to the registration statement in effect, and no proceedings for such purpose will be pending before, or threatened by, the SEC.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66" w:right="459" w:bottom="1440" w:gutter="0" w:footer="0" w:header="0"/>
        </w:sectPr>
      </w:pPr>
    </w:p>
    <w:bookmarkStart w:id="73" w:name="page74"/>
    <w:bookmarkEnd w:id="73"/>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Nasdaq will have approved the listing of SpinCo common stock, subject to official notice of issuance.</w:t>
      </w:r>
    </w:p>
    <w:p>
      <w:pPr>
        <w:spacing w:after="0" w:line="130" w:lineRule="exact"/>
        <w:rPr>
          <w:rFonts w:ascii="Times New Roman" w:cs="Times New Roman" w:eastAsia="Times New Roman" w:hAnsi="Times New Roman"/>
          <w:sz w:val="18"/>
          <w:szCs w:val="18"/>
          <w:color w:val="auto"/>
        </w:rPr>
      </w:pPr>
    </w:p>
    <w:p>
      <w:pPr>
        <w:ind w:left="960" w:right="500" w:hanging="424"/>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have received the Tax Opinion from its tax counsel, Skadden, substantially to the effect that, among other things, the distribution will qualify for the Intended Tax Treatment. See the section of this information statement entitled “Material U.S. Federal Income Tax Consequences of the Distribution.”</w:t>
      </w:r>
    </w:p>
    <w:p>
      <w:pPr>
        <w:spacing w:after="0" w:line="81"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filings necessary or appropriate under applicable securities laws or “blue sky” laws and the rules and regulations thereunder will have been taken.</w:t>
      </w:r>
    </w:p>
    <w:p>
      <w:pPr>
        <w:spacing w:after="0" w:line="67" w:lineRule="exact"/>
        <w:rPr>
          <w:rFonts w:ascii="Times New Roman" w:cs="Times New Roman" w:eastAsia="Times New Roman" w:hAnsi="Times New Roman"/>
          <w:sz w:val="18"/>
          <w:szCs w:val="18"/>
          <w:color w:val="auto"/>
        </w:rPr>
      </w:pPr>
    </w:p>
    <w:p>
      <w:pPr>
        <w:jc w:val="both"/>
        <w:ind w:left="960" w:right="80" w:hanging="424"/>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preliminary or permanent injunction or other order, decree or ruling issued by a governmental authority, and no statute, rule, regulation or executive order promulgated or enacted by any governmental authority shall be in effect preventing the consummation of, or materially limiting the benefits of, the transactions contemplated by the separation and distribution agreement.</w:t>
      </w:r>
    </w:p>
    <w:p>
      <w:pPr>
        <w:spacing w:after="0" w:line="81"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reorganization transactions with respect to the Commercial Foodservice business and Food Processing business to be completed prior to the distribution will have been effectuated in all material respects.</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Middleby Board shall have declared the distribution and finally approved all related transactions (and such declaration or approval shall not have been withdrawn).</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shall have occurred or failed to occur that, in the judgment of the Middleby Board, in its sole discretion, prevents the consummation of, or makes it inadvisable to effect the separation, the distribution or the other related transactions.</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governmental approvals necessary to consummate the distribution and the transactions contemplated by the separation and distribution agreement and the ancillary agreements shall have been obtained and be in full force and effect.</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of this information statement (or notice of internet availability thereof) to record holders of Middleby common stock as of 4:00 p.m. Central Time on June 26, 2026, the record date for the distribution.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ancillary agreements shall have been executed and delivered by each party thereto.</w:t>
      </w:r>
    </w:p>
    <w:p>
      <w:pPr>
        <w:spacing w:after="0" w:line="130"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appraisal firm shall have delivered the Solvency Opinions; and such Solvency Opinions shall be reasonably acceptable to Middleby in form and substance; and such Solvency Opinions shall not have been withdrawn or rescinded or modified in any respect adverse to Middleby.</w:t>
      </w:r>
    </w:p>
    <w:p>
      <w:pPr>
        <w:spacing w:after="0" w:line="81" w:lineRule="exact"/>
        <w:rPr>
          <w:rFonts w:ascii="Times New Roman" w:cs="Times New Roman" w:eastAsia="Times New Roman" w:hAnsi="Times New Roman"/>
          <w:sz w:val="18"/>
          <w:szCs w:val="18"/>
          <w:color w:val="auto"/>
        </w:rPr>
      </w:pPr>
    </w:p>
    <w:p>
      <w:pPr>
        <w:ind w:left="960" w:right="480" w:hanging="424"/>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substantially concurrently with the distribution, SpinCo and each of its consolidated subsidiaries shall be released from its guaranty and other obligations under Middleby’s financing documents, and all security interests granted over their respective assets (including the equity interests of SpinCo) shall be released.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OpCo shall have consummated the necessary debt financing transactions and paid the related cash dividend.</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Middleby and SpinCo cannot assure you that any or all of these conditions will be met, and the Middleby Board may also waive conditions to the distribution in its sole discretion. If the spin-off is completed and the Middleby Board waives any such condition, such waiver could have a material adverse effect on Middleby’s and SpinCo’s respective business, financial condition or results of operations, including, without limitation, as a result of litigation relating to any preliminary or permanent injunctions that sought to prevent the consummation of the spin-off, or the failure of Middleby and SpinCo to obtain any required regulatory approvals. As of the date hereof, the Middleby Board does not intend to waive any of the conditions described herein.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fulfillment of the above conditions will not create any obligation on behalf of Middleby to effect the spin-off, and Middleby may at any time decline to go forward with the spin-off. Until the spin-off has occurred, Middleby has the right not to complete the spin-off, even if all the conditions have been satisfied, if, at any time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20"/>
          </w:cols>
          <w:pgMar w:left="440" w:top="270" w:right="439" w:bottom="1440" w:gutter="0" w:footer="0" w:header="0"/>
        </w:sectPr>
      </w:pPr>
    </w:p>
    <w:bookmarkStart w:id="74" w:name="page75"/>
    <w:bookmarkEnd w:id="74"/>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distribution, the Middleby Board determines, in its sole discretion, that the spin-off is not in the best interests of Middleby or its stockholders, that a sale or other alternative is in the best interests of Middleby or its stockholders or that market conditions or other circumstances are such that it is not advisable at that time to separate the Food Processing business from Middleby.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Solvency Opinions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furtherance of the related condition referenced above, prior to the separation, an independent appraisal firm shall have delivered:</w:t>
      </w:r>
    </w:p>
    <w:p>
      <w:pPr>
        <w:spacing w:after="0" w:line="131" w:lineRule="exact"/>
        <w:rPr>
          <w:sz w:val="20"/>
          <w:szCs w:val="20"/>
          <w:color w:val="auto"/>
        </w:rPr>
      </w:pPr>
    </w:p>
    <w:p>
      <w:pPr>
        <w:ind w:left="960" w:hanging="424"/>
        <w:spacing w:after="0" w:line="255"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dated as of (x) the date of the declaration of the distribution by the Middleby Board and (y) the distribution date (or, with respect to clause (y), a bringdown of such opinion as of the distribution date), to the Middleby Board that (1) after giving effect to the consummation of the transactions, (a) the assets of Middleby, at a fair valuation, exceed its debts (including contingent liabilities), (b) Middleby will be able to pay its debts (including contingent liabilities) as they become due and (c) Middleby will not have an unreasonably small amount of either assets or capital for the operations of the business in which it is engaged or in which management has indicated it intends to engage and (2) immediately prior to giving effect to the distribution and pursuant to Section 170 of the DGCL, the surplus of Middleby exceeds the net amount of the distribution; and</w:t>
      </w:r>
    </w:p>
    <w:p>
      <w:pPr>
        <w:spacing w:after="0" w:line="94" w:lineRule="exact"/>
        <w:rPr>
          <w:rFonts w:ascii="Times New Roman" w:cs="Times New Roman" w:eastAsia="Times New Roman" w:hAnsi="Times New Roman"/>
          <w:sz w:val="18"/>
          <w:szCs w:val="18"/>
          <w:color w:val="auto"/>
        </w:rPr>
      </w:pPr>
    </w:p>
    <w:p>
      <w:pPr>
        <w:ind w:left="960" w:hanging="424"/>
        <w:spacing w:after="0" w:line="253"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opinions, dated as of (x) the date of the declaration of the cash dividend to be paid in connection with the transactions by SpinCo OpCo and (y) the payment date of such cash dividend (or, with respect to clause (y), a bringdown of such opinion as of such payment date), to the Middleby Board, SpinCo Board and board of directors of SpinCo OpCo that (1) after giving effect to the consummation of the transactions, (a) the assets of SpinCo OpCo, at a fair valuation, exceed its debts (including contingent liabilities), (b) SpinCo OpCo will be able to pay its debts (including contingent liabilities) as they become due and SpinCo OpCo not will have an unreasonably small amount of either assets or capital for the operations of the business in which it is engaged or in which management has indicated it intends to engage and (2) immediately prior to giving effect to the dividend and pursuant to Section 180.0640 of the Business Corporations Law of Wisconsin., the fair value of the assets of SpinCo OpCo exceeds the sum of (I) its liabilities (including contingent liabilities) plus (II) the amount that would be needed, if SpinCo OpCo were to be dissolved at the time of the dividend, to satisfy the preferential rights upon dissolution of shareholders whose preferential rights are superior to those receiving the dividend.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Number of Shares You Will Receive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share of Middleby common stock that you owned as of 4:00 p.m. Central Time on June 26, 2026, the record date for the distribution, you 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a number of shares of SpinCo common stock equal to the distribution ratio on or about July 6, 2026, the distribution date. The actual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to be distributed will be determined based on the number of shares of Middleby common stock outstanding on the record date for the distribution.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 of Shares You Receive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Shares of SpinCo common stock distributed to holders in connection with the distribution will be transferable without registration under the Securities Act, except for shares received by persons who may be deemed to be SpinCo affiliates. Persons who may be deemed to be SpinCo affiliates after the distribution generally include individuals or entities that control, are controlled by or are under common control with SpinCo, which may include certain of SpinCo’s executive officers, directors or principal stockholders. Securities held by SpinCo affiliates will be subject to resale restrictions under the Securities Act. SpinCo affiliates will be permitted to sell shares of SpinCo common stock only pursuant to an effective registration statement or an exemption from the registration requirements of the Securities Act, such as the exemption afforded by Rule 144 under the Securities Act.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and How You Will Receive the Distributed Shares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Middleby expects to distribute the shares of SpinCo common stock on or about July 6, 2026, the distribution date. Computershare will serve as the transfer agent and registrar for SpinCo common stock and as distribution agent in connection with the distribution.</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you own shares of Middleby common stock as of 4:00 p.m. Central Time on June 26, 2026, the record date for the distribution, the shares of SpinCo common stock that you will be entitled to receive in the distribution will be issued electronically, as of the distribution date, to you in direct registration form or to your broker, bank or other nominee on your behalf. If you are a registered holder, the distribution agent will then mail you a direct registration account statement that reflects your shares of SpinCo common stock. Direct registration form refers to a method of recording share ownership when no physical share certificates are issued to stockholders, as is the case in this distribution. If you sell shares of Middleby common stock in the “regular-way” market up to and including the distribution date, you will be selling your right to receive shares of SpinCo common stock in the distribution.</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you hold your shares through a brokerage firm or bank, the brokerage firm or bank would be said to hold the shares in “street name” and ownership would be recorded on the brokerage firm or bank’s books and your brokerage firm or bank will credit your account for the shares of SpinCo common stock that you are entitled to receive in the distribution. If you have any questions concerning the mechanics of having shares held in “street name,” we encourage you to contact your bank or brokerage firm.</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Middleby stockholders will not be required to make any payment or surrender or exchange their shares of Middleby common stock or take any other action to receive their shares of SpinCo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the Spin-Off</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Immediately following the spin-off, SpinCo will be a separate, publicly traded company, and we expect to have 45,214,588 shares of SpinCo common stock outstanding as a result of the distribution. The actual number of shares to be distributed will be determined after 4:00 p.m. Central Time on June 26, 2026, the record date for the distribution. The distribution will not affect the number of outstanding shares of Middleby common stock and Middleby preferred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SpinCo Common Stock</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There is currently no public market for SpinCo common stock. A condition to the distribution is the listing of SpinCo common stock shares on Nasdaq. We have received approval to list SpinCo common stock on Nasdaq under the symbol “MFP.” We have not and will not set the initial price of shares of SpinCo common stock. The initial price will be established by the public markets.</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cannot predict the price at which shares of SpinCo common stock will trade after the distribution. In fact, the combined trading prices, after the spin-off, of shares of SpinCo common stock that each Middleby stockholder will receive in the distribution and the shares of Middleby common stock held at the record date for the distribution may not equal the “regular-way” trading price of a share of Middleby common stock immediately prior to completion of the spin-off. The price at which shares of SpinCo common stock trade may fluctuate significantly, particularly until an orderly public market develops. Trading prices for SpinCo common stock will be determined in the public markets and may be influenced by many factors.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Between the Record Date and the Distribution Date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Beginning on or shortly before the record date for the distribution and continuing up to and including the distribution date, Middleby expects that there will be two markets in Middleby common stock: a “regular-way”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66" w:right="459" w:bottom="1440" w:gutter="0" w:footer="0" w:header="0"/>
        </w:sectPr>
      </w:pPr>
    </w:p>
    <w:bookmarkStart w:id="76" w:name="page77"/>
    <w:bookmarkEnd w:id="76"/>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 and an “ex-distribution” market. Shares of Middleby common stock that trade on the “regular-way” market will trade with an entitlement to shares of SpinCo common stock distributed pursuant to the distribution. Shares of Middleby common stock that trade on the “ex-distribution” market will trade without an entitlement to shares of SpinCo common stock distributed pursuant to the distribution. Each stockholder trading in shares of Middleby common stock would make any decision as to whether to trade one or more of such stockholder’s shares in Middleby in the “regular-way” market or the “ex-distribution” market. If you sell shares of Middleby common stock in the “regular-way” market up to and including through the distribution date, you will be selling your right to receive shares of SpinCo common stock in the distribution. If you own shares of Middleby common stock as of 4:00 p.m. Central Time on June 26, 2026, the record date for the distribution, and sell those shares on the “ex-distribution” market up to and including through the distribution date, you will receive the shares of SpinCo common stock that you are entitled to receive pursuant to your ownership as of the record date for the distribution.</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beginning shortly before the distribution date and continuing up to and including the distribution date, we expect that there will be a “when-issued” market in SpinCo common stock. “When-issued” trading refers to a sale or purchase made conditionally because the security has been authorized but not yet issued. The “when-issued” trading market will be a market for SpinCo common stock that will be distributed to holders of Middleby common stock on July 6, 2026, the distribution date. If you own shares of Middleby common stock as of 4:00 p.m. Central Time on June 26, 2026, the record date for the distribution, you will be entitled to a number of shares of SpinCo common stock equal to the distribution ratio for each share of Middleby common stock you hold. You may trade this entitlement to shares of SpinCo common stock, without the shares of Middleby common stock you own, on the “when-issued” market. On the first trading day following the distribution date, “when-issued” trading with respect to SpinCo common stock will end, and “regular-way” trading will begin.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Transaction and Separation Costs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will incur certain costs in connection with the spin-off. We currently estimate that the one-time separation costs we will incur, primarily employee-related costs such as costs to establish certain standalone functions and information technology systems, professional services fees and other separation-related costs during our transition to being a stand-alone public company, will be approximately $60.5 million. Except as otherwise set forth in the separation and distribution agreement, any such costs incurred prior to the completion of the spin-off will be borne by Middleby (including, without limitation, cost and expenses relating to legal counsel, financial advisors and accounting advisory work related to the separation), and any such costs incurred from and after the completion of the spin-off will be borne by the applicable party incurring such costs.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Incurrence/Treatment of Debt</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spin-off, we expect to complete one or more term loans or other financing arrangements, as described in the section of this information statement entitled “Description of Certain Indebtedness” (the “Debt Financing Transactions”). We expect that the Debt Financing Transactions will be completed prior to or substantially concurrently with the consummation of the spin-off. However, no assurance can be given that the Debt Financing Transactions will occur in the anticipated time frame on favorable terms, or at all. For a more detailed description of the Debt Financing Transactions, see the section of this information statement entitled “Description of Certain Indebtedness.”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Regulatory Approval</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registration statement, of which this information statement forms a part, must become effective prior to the distribution, and shares of SpinCo common stock to be distributed must have been approved for listing 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60"/>
          </w:cols>
          <w:pgMar w:left="440" w:top="270" w:right="499" w:bottom="1440" w:gutter="0" w:footer="0" w:header="0"/>
        </w:sectPr>
      </w:pPr>
    </w:p>
    <w:bookmarkStart w:id="77" w:name="page78"/>
    <w:bookmarkEnd w:id="7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Nasdaq, subject to official notice of issuance. Other than the requirements discussed above, we do not believe that any other material governmental or regulatory filings or approvals will be necessary to consummate the distribution.</w:t>
      </w:r>
    </w:p>
    <w:p>
      <w:pPr>
        <w:spacing w:after="0" w:line="37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No Stockholder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vote of Middleby stockholders is required or sought in connection with the spin-off.</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DGCL, Middleby stockholders will not have appraisal rights in connection with the distribution.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800"/>
          </w:cols>
          <w:pgMar w:left="440" w:top="270" w:right="65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U.S. FEDERAL INCOME TAX CONSEQUENCES OF THE DISTRIBUTION</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of the distribution to “U.S. holders” (as defined below) of Middleby common stock. This summary is based on the Code, U.S. Treasury Regulations promulgated thereunder, administrative interpretations and court decisions as in effect as of the date of this information statement, all of which may change at any time, possibly with retroactive effect. Any such change or interpretation could affect the tax consequences described below. This discussion assumes that the separation and the distribution, together with certain related transactions, were or will be consummated in accordance with the separation and distribution agreement and the other agreements related to the separation and as described in this information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Middleby common stock that is, for U.S. federal income tax purposes:</w:t>
      </w:r>
    </w:p>
    <w:p>
      <w:pPr>
        <w:spacing w:after="0" w:line="131" w:lineRule="exact"/>
        <w:rPr>
          <w:sz w:val="20"/>
          <w:szCs w:val="20"/>
          <w:color w:val="auto"/>
        </w:rPr>
      </w:pPr>
    </w:p>
    <w:p>
      <w:pPr>
        <w:ind w:left="960" w:hanging="42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960" w:right="360" w:hanging="424"/>
        <w:spacing w:after="0" w:line="266"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the administration of which is subject to the primary supervision of a court within the United States and for which one or more U.S. persons have the authority to control all of the substantial decisions of such trust or (2) it has a valid election in effect under applicable Treasury Regulations to be treated as a U.S. person.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discussion addresses only the consequences to U.S. holders of shares of Middleby common stock who hold such shares as capital assets. It does not address all aspects of U.S. federal income taxation that may be relevant to a particular U.S. holder of Middleby common stock in light of that stockholder’s particular circumstances, nor does it address any tax consequences to stockholders subject to special treatment under the U.S. federal income tax laws, including:</w:t>
      </w:r>
    </w:p>
    <w:p>
      <w:pPr>
        <w:spacing w:after="0" w:line="85" w:lineRule="exact"/>
        <w:rPr>
          <w:sz w:val="20"/>
          <w:szCs w:val="20"/>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securities, commodities or foreign currencies;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 regulated investment company or insurance company;</w:t>
      </w:r>
    </w:p>
    <w:p>
      <w:pPr>
        <w:spacing w:after="0" w:line="130" w:lineRule="exact"/>
        <w:rPr>
          <w:rFonts w:ascii="Times New Roman" w:cs="Times New Roman" w:eastAsia="Times New Roman" w:hAnsi="Times New Roman"/>
          <w:sz w:val="18"/>
          <w:szCs w:val="18"/>
          <w:color w:val="auto"/>
        </w:rPr>
      </w:pPr>
    </w:p>
    <w:p>
      <w:pPr>
        <w:ind w:left="960" w:right="660" w:hanging="424"/>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who acquired Middleby common stock pursuant to the exercise of employee stock options or similar derivative securities otherwise as compensation;</w:t>
      </w:r>
    </w:p>
    <w:p>
      <w:pPr>
        <w:spacing w:after="0" w:line="67"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who owns Middleby common stock as part of a hedge, appreciated financial position, straddle, conversion or other risk reduction transaction;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who holds Middleby common stock in a tax-deferred account, such as an individual retirement account.</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This discussion does not address any state, local or non-U.S. tax consequences or any estate, gift or other non-income tax consequences, or any considerations under U.S. federal laws other than those pertaining to the U.S. federal income tax.</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Middleby common stock, the tax treatment of a partner in such partnership generally will depend upon the status of the partner and the activities of the partnership. A partner in a partnership holding Middleby common stock should consult its own tax advisor.</w:t>
      </w:r>
    </w:p>
    <w:p>
      <w:pPr>
        <w:spacing w:after="0" w:line="176"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discussion of U.S. federal income tax consequences is not a complete analysis or description of all potential U.S. federal income tax consequences of the distribution. This discussion does not address tax consequences that may vary with, or are contingent on, individual circumstances.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66" w:right="459" w:bottom="1440" w:gutter="0" w:footer="0" w:header="0"/>
        </w:sectPr>
      </w:pPr>
    </w:p>
    <w:bookmarkStart w:id="79" w:name="page80"/>
    <w:bookmarkEnd w:id="79"/>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ACCORDINGLY, EACH HOLDER OF MIDDLEBY COMMON STOCK SHOULD CONSULT ITS OWN TAX ADVISOR WITH RESPECT TO THE SPECIFIC U.S. FEDERAL, STATE, LOCAL AND NON-U.S. INCOME OR OTHER TAX CONSEQUENCES OF THE DISTRIBUTION TO SUCH HOLDER.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Opinion of Skadden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a condition to the distribution that Middleby receive the Tax Opinion, satisfactory to the Middleby Board, regarding the qualification of the distribution for the Intended Tax Treatment. The Tax Opinion will be based upon and rely on, among other things, various facts and assumptions, as well as certain representations, statements and undertakings of Middleby and SpinCo, including facts, assumptions, representations, statements and undertakings relating to the past and future conduct of the companies’ respective businesses and other matters. Neither Middleby nor SpinCo has requested, or intends to request, a ruling from the IRS regarding the U.S. federal income tax consequences of the distribution or related transactions.</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Skadden’s ability to provide the opinion will depend on the absence of changes in existing facts or law between the date of this information statement and the closing date of the distribution. If any of the representations, covenants or assumptions on which Skadden will rely are inaccurate, Skadden may not be able to provide the opinion, or the tax consequences of the distribution could differ from those described below.</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any of these facts, assumptions, representations and statements are or become inaccurate or incomplete, or if any such undertaking is not complied with, Middleby may not be able to rely on the Tax Opinion, and the conclusions reached therein could be jeopardized.</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Notwithstanding Middleby’s receipt of the Tax Opinion, the IRS could determine on audit that the distribution or certain related transactions are taxable for U.S. federal income tax purposes if it determines that any of the facts, assumptions, representations, statements and undertakings upon which the opinion was based are incorrect or have been violated, or if it disagrees with any of the conclusions in the Tax Opinion. Accordingly, notwithstanding Middleby’s receipt of the Tax Opinion, there can be no assurance that the IRS will not assert that the distribution or certain related transactions do not qualify for tax-free treatment for U.S. federal income tax purposes, or that a court would not sustain such a challenge.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Distribution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Assuming that the distribution qualifies as a distribution within the meaning of Section 355 of the Code, then, for U.S. federal income tax purposes:</w:t>
      </w:r>
    </w:p>
    <w:p>
      <w:pPr>
        <w:spacing w:after="0" w:line="131" w:lineRule="exact"/>
        <w:rPr>
          <w:sz w:val="20"/>
          <w:szCs w:val="20"/>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not recognize income, gain or loss on the distribution;</w:t>
      </w:r>
    </w:p>
    <w:p>
      <w:pPr>
        <w:spacing w:after="0" w:line="130" w:lineRule="exact"/>
        <w:rPr>
          <w:rFonts w:ascii="Times New Roman" w:cs="Times New Roman" w:eastAsia="Times New Roman" w:hAnsi="Times New Roman"/>
          <w:sz w:val="18"/>
          <w:szCs w:val="18"/>
          <w:color w:val="auto"/>
        </w:rPr>
      </w:pPr>
    </w:p>
    <w:p>
      <w:pPr>
        <w:ind w:left="960" w:right="160" w:hanging="424"/>
        <w:spacing w:after="0" w:line="261"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aggregate tax basis in its shares of Middleby common stock and SpinCo common stock immediately after the distribution will be the same as the aggregate tax basis of the shares of Middleby common stock held by the U.S. holder immediately before the distribution, allocated between such shares of Middleby common stock and SpinCo common stock in proportion to their relative fair market values; and</w:t>
      </w:r>
    </w:p>
    <w:p>
      <w:pPr>
        <w:spacing w:after="0" w:line="85"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holding period in the SpinCo common stock received in the distribution will include the holding period of the Middleby common stock with respect to which such SpinCo common stock was received.</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U.S. holders that have acquired different blocks of Middleby common stock at different times or at different prices should consult their tax advisors regarding the allocation of their aggregate tax basis in, and the holding period of, the SpinCo common stock distributed with respect to such blocks of Middleby common stock.</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the distribution were determined not to qualify for tax-free treatment under Section 355 of the Code, Middleby would generally be subject to tax as if it sold the SpinCo common stock in a taxable transaction. Middleby would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66" w:right="459" w:bottom="1440" w:gutter="0" w:footer="0" w:header="0"/>
        </w:sectPr>
      </w:pPr>
    </w:p>
    <w:bookmarkStart w:id="80" w:name="page81"/>
    <w:bookmarkEnd w:id="8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recognize taxable gain in an amount equal to the excess of (i) the total fair market value of the shares of SpinCo common stock distributed in the distribution over (ii) Middleby’s aggregate tax basis in such shares of SpinCo common stock. In addition, each U.S. holder who receives SpinCo common stock in the distribution would generally be treated as receiving a taxable distribution in an amount equal to the fair market value of the SpinCo common stock received by the U.S. holder in the distribution. In general, such distribution would be taxable as a dividend to the extent of Middleby’s current and accumulated earnings and profits (as determined for U.S. federal income tax purposes). To the extent the distribution exceeds such earnings and profits, the distribution would generally constitute a non-taxable return of capital to the extent of the U.S. holder’s tax basis in its shares of Middleby common stock, with any remaining amount of the distribution taxed as capital gain. A U.S. holder would have a tax basis in its shares of SpinCo common stock equal to their fair market value. Certain U.S. holders may be subject to special rules governing taxable distributions, such as those that relate to the dividends received deduction and extraordinary dividends.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Even if the distribution otherwise qualifies under Section 355 of the Code, the distribution would be taxable to Middleby (but not to its U.S. holders) pursuant to Section 355(e) of the Code if one or more persons acquire a 50% or greater interest (measured by vote or value) in the stock of Middleby or SpinCo, directly or indirectly (including through acquisitions of stock after the completion of the distribution), as part of a plan or series of related transactions that includes the distribution. Current law generally creates a presumption that any direct or indirect acquisition of stock of Middleby or SpinCo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If the IRS were to determine that direct or indirect acquisitions of stock of Middleby or SpinCo, either before or after the distribution, were part of a plan that includes the distribution, such determination could cause Section 355(e) of the Code to apply to the distribution, which could result in a material tax liability for which SpinCo may have an indemnification obligation pursuant to the tax matters agreement.</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the tax matters agreement that we will enter into with Middleby, we generally will be required to indemnify Middleby for any taxes incurred by Middleby that arise as a result of SpinCo taking or failing to take, as the case may be, certain actions that result in the distribution and certain related transactions failing to qualify as tax-free for U.S. federal income tax purposes, as well as failing to qualify for certain tax-neutral or tax-free regimes under non-U.S. tax laws. For a more detailed discussion, see “Certain Relationships and Related Transactions—Material Agreements with Middleby— Tax Matters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Current Treasury regulations require certain U.S. holders of Middleby common stock who are “significant distributees” (generally, a U.S. holder that owns at least 5% of the outstanding Middleby common stock immediately before the distribution) and who receive SpinCo common stock pursuant to the distribution to attach to their U.S. federal income tax returns for the taxable year in which the distribution occurs a statement setting forth certain information with respect to the transaction. Middleby will provide holders of Middleby common stock with the information necessary to comply with this requirement. U.S. holders should consult their tax advisors to determine whether they are significant distributees required to provide the foregoing statement.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1" w:name="page82"/>
    <w:bookmarkEnd w:id="8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 POLICY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do not currently intend to pay any cash dividends in the foreseeable future. We currently intend to retain all available funds and future earnings, if any, for the operation of our business and to strengthen our financial position and flexibility. The payment of any cash dividends in the future will be at the discretion of the SpinCo Board and will depend upon our results of operations, earnings, capital requirements and general financial condition, as well as applicable law, regulatory constraints, industry practice and other factors deemed relevant by the SpinCo Board. In addition, the terms governing our current or future debt may also limit or prohibit dividend payments. Accordingly, we cannot guarantee that we will ever pay dividends in the future or that we would continue to pay any dividends that we may commence in the future.</w:t>
      </w:r>
    </w:p>
    <w:p>
      <w:pPr>
        <w:spacing w:after="0" w:line="18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addition, under Delaware law, the SpinCo Board may declare dividends only to the extent of our surplus (which is defined as total assets at fair market value, minus total liabilities, minus statutory capital) or, if there is no surplus, out of our net profits for the then-current and/or immediately preceding fiscal year.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440" w:top="266" w:right="47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April 4, 2026, on a historical basis and on a pro forma basis, to give effect to the spin-off and related transactions as if they had occurred on April 4, 2026. The cash and cash equivalents and capitalization information in the following table may not necessarily reflect what our cash and cash equivalents and capitalization would have been had we been operating as a standalone company as of April 4, 2026. The information in the following table may not necessarily reflect what our cash and cash equivalents and capitalization may be in the future. We have not yet finalized our post-spin-off capitalization. Our cash and cash equivalents and capitalization following the spin-off will depend on SpinCo’s cash flow prior to the spin-off and any adjustments to effect the targeted capital structure of SpinCo.</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following table should be read in conjunction with the sections of this information statement entitled “Management’s Discussion and Analysis of Financial Condition and Results of Operations” and “Unaudited Pro Forma Condensed Combined Financial Information” as well as our audited combined financial statements and accompanying notes and unaudited condensed combined financial statements and accompanying notes included elsewhere in this information statement.</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w:t>
            </w:r>
          </w:p>
        </w:tc>
        <w:tc>
          <w:tcPr>
            <w:tcW w:w="2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57,929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77,929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279,547</w:t>
            </w:r>
          </w:p>
        </w:tc>
        <w:tc>
          <w:tcPr>
            <w:tcW w:w="0" w:type="dxa"/>
            <w:vAlign w:val="bottom"/>
          </w:tcPr>
          <w:p>
            <w:pPr>
              <w:spacing w:after="0"/>
              <w:rPr>
                <w:sz w:val="1"/>
                <w:szCs w:val="1"/>
                <w:color w:val="auto"/>
              </w:rPr>
            </w:pPr>
          </w:p>
        </w:tc>
      </w:tr>
      <w:tr>
        <w:trPr>
          <w:trHeight w:val="230"/>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808,978</w:t>
            </w: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Parent Investment (NPI)</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1,049,926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(33,328)</w:t>
            </w:r>
          </w:p>
        </w:tc>
        <w:tc>
          <w:tcPr>
            <w:tcW w:w="0" w:type="dxa"/>
            <w:vAlign w:val="bottom"/>
          </w:tcPr>
          <w:p>
            <w:pPr>
              <w:spacing w:after="0"/>
              <w:rPr>
                <w:sz w:val="1"/>
                <w:szCs w:val="1"/>
                <w:color w:val="auto"/>
              </w:rPr>
            </w:pPr>
          </w:p>
        </w:tc>
      </w:tr>
      <w:tr>
        <w:trPr>
          <w:trHeight w:val="230"/>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2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1,016,598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1,048,627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1,060,131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28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7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66" w:right="47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FINANCIAL INFORMATION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give effect to the spin-off and related adjustments in accordance with Article 11 of Regulation S-X, as amended. The spin-off and related transactions are described in the section of this information statement entitled “The Separation and Distribution.”</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derived from our unaudited historical condensed combined statement of earnings for the three months ended April 4, 2026, our audited historical combined statement of earnings for the fiscal year ended January 3, 2026, and our unaudited historical condensed combined balance sheet as of April 4, 2026, which were prepared on a “carve-out” basis in connection with the expected spin-off and were derived from the consolidated financial statements and historical accounting records of Middleby. The pro forma adjustments to the unaudited pro forma condensed combined statement of earnings for the three months ended April 4, 2026 and for the fiscal year ended January 3, 2026 assume that the spin-off and related transactions occurred on December 29, 2024. The unaudited pro forma condensed combined balance sheet gives effect to the spin-off and related transactions as if they had occurred on April 4, 2026, the latest balance sheet date.</w:t>
      </w:r>
    </w:p>
    <w:p>
      <w:pPr>
        <w:spacing w:after="0" w:line="18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unaudited pro forma condensed combined financial statements have been prepared to include transaction accounting and autonomous entity adjustments to reflect our financial condition and results of operations as if we were a standalone company. These adjustments include the following:</w:t>
      </w:r>
    </w:p>
    <w:p>
      <w:pPr>
        <w:spacing w:after="0" w:line="45" w:lineRule="exact"/>
        <w:rPr>
          <w:sz w:val="20"/>
          <w:szCs w:val="20"/>
          <w:color w:val="auto"/>
        </w:rPr>
      </w:pPr>
    </w:p>
    <w:p>
      <w:pPr>
        <w:ind w:left="960" w:right="220" w:hanging="424"/>
        <w:spacing w:after="0" w:line="282" w:lineRule="auto"/>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our anticipated post-spin-off capital structure, including (i) the issuance of 45,214,588 shares of SpinCo common stock and (ii) the incurrence of $252.0 million of indebtedness;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one-time expenses associated with the spin-off and related transactions;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as described in the accompanying notes to the unaudited pro forma condensed combined financial information.</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historical combined statements of earnings were derived from Middleby’s historical accounting records and include certain corporate expenses which have been allocated to SpinCo. The allocations have been determined on a reasonable basis; however, the amounts are not necessarily representative of the amounts that would have been reflected in the financial statements had SpinCo operated as a standalone company during the period presented. In connection with the spin-off, Middleby and SpinCo will enter into a transition services agreement and other ancillary agreements. See the section of this information statement entitled “Certain Relationships and Related Transactions—Material Agreements with Middleby” for additional information. The unaudited pro forma condensed combined statement of earnings for the three months ended April 4, 2026 and for the fiscal year ended January 3, 2026 does not include an autonomous entity adjustment for these agreements as the estimated net cost is not incremental to the corporate expense allocations from Middleby reflected in the unaudited historical condensed combined statement of earnings for the three months ended April 4, 2026 and the audited historical combined statement of earnings for the fiscal year ended January 3, 2026.</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expect to incur incremental costs as a standalone public company in certain corporate support functions (executive management, finance, accounting, tax, treasury, information technology, and legal, among others); however, such costs are not reflected in the unaudited pro forma condensed combined statement of earnings as these dis-synergies are not considered autonomous entity adjustments.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upon available information and assumptions, including those described in the accompanying notes, that we believe are reasonable and supportable given the information and estimates available at this time. However, these adjustments are subject to change as the terms of the spin-off are finalized, and the final amounts could differ materially from these estimates. A final determination regarding our capital structure has not yet been made, and the ancillary agreements have not been finalized. The unaudited pro forma condensed combined financial information may be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66" w:right="479" w:bottom="1440" w:gutter="0" w:footer="0" w:header="0"/>
        </w:sectPr>
      </w:pPr>
    </w:p>
    <w:bookmarkStart w:id="84" w:name="page85"/>
    <w:bookmarkEnd w:id="8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revised in future amendments to the extent any such revisions would be deemed material. The unaudited pro forma condensed combined financial information is for illustrative and informational purposes only. The unaudited pro forma condensed combined financial information may not reflect what our financial condition and results of operations would have been had we been a standalone company during the periods presented. In addition, the unaudited pro forma condensed combined financial information may not reflect what our financial condition or results of operations may be in the future. See “Risk Factors—Risks Related to the Spin-Off—We are being spun-off from our parent company, Middleby, and our historical and pro forma financial information is not necessarily representative of the results that we would have achieved as a separate, publicly traded company and therefore may not be a reliable indicator of our future results.”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reported below should be read in conjunction with the sections of this information statement entitled “Capitalization” and “Management’s Discussion and Analysis of Financial Condition and Results of Operations” as well as our audited historical combined financial statements and accompanying notes and unaudited historical condensed combined financial statements and accompanying notes included elsewhere in this information statement. For factors that could cause actual results to differ materially from those presented in the unaudited pro forma condensed combined financial statements, see “Special Note Regarding Forward-Looking Statements” and “Risk Factors” included elsewhere in this information statement.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70" w:right="479" w:bottom="1440" w:gutter="0" w:footer="0" w:header="0"/>
        </w:sectPr>
      </w:pPr>
    </w:p>
    <w:bookmarkStart w:id="85" w:name="page86"/>
    <w:bookmarkEnd w:id="85"/>
    <w:p>
      <w:pPr>
        <w:jc w:val="center"/>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UNAUDITED PRO FORMA CONDENSED COMBINED STATEMENT OF EARNINGS FOR THE THREE MONTHS ENDED APRIL 4, 2026 </w:t>
      </w:r>
      <w:r>
        <w:rPr>
          <w:rFonts w:ascii="Times New Roman" w:cs="Times New Roman" w:eastAsia="Times New Roman" w:hAnsi="Times New Roman"/>
          <w:sz w:val="18"/>
          <w:szCs w:val="18"/>
          <w:b w:val="1"/>
          <w:bCs w:val="1"/>
          <w:color w:val="auto"/>
        </w:rPr>
        <w:t>(in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4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0" w:type="dxa"/>
            <w:vAlign w:val="bottom"/>
          </w:tcPr>
          <w:p>
            <w:pPr>
              <w:spacing w:after="0"/>
              <w:rPr>
                <w:sz w:val="12"/>
                <w:szCs w:val="12"/>
                <w:color w:val="auto"/>
              </w:rPr>
            </w:pPr>
          </w:p>
        </w:tc>
        <w:tc>
          <w:tcPr>
            <w:tcW w:w="10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225,046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225,046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147,638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147,638</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77,408</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59,073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59,129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3,572</w:t>
            </w:r>
          </w:p>
        </w:tc>
        <w:tc>
          <w:tcPr>
            <w:tcW w:w="6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15,380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w:t>
            </w: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(e)</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(j)</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11,581</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(h)</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(h)</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45,215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45,215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Pro Forma Condensed Combined Statement of Earnings.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0"/>
          </w:cols>
          <w:pgMar w:left="440" w:top="266" w:right="439" w:bottom="1440" w:gutter="0" w:footer="0" w:header="0"/>
        </w:sectPr>
      </w:pPr>
    </w:p>
    <w:bookmarkStart w:id="86" w:name="page87"/>
    <w:bookmarkEnd w:id="86"/>
    <w:p>
      <w:pPr>
        <w:jc w:val="center"/>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UNAUDITED PRO FORMA CONDENSED COMBINED STATEMENT OF EARNINGS FOR THE FISCAL YEAR ENDED JANUARY 3, 2026 </w:t>
      </w:r>
      <w:r>
        <w:rPr>
          <w:rFonts w:ascii="Times New Roman" w:cs="Times New Roman" w:eastAsia="Times New Roman" w:hAnsi="Times New Roman"/>
          <w:sz w:val="18"/>
          <w:szCs w:val="18"/>
          <w:b w:val="1"/>
          <w:bCs w:val="1"/>
          <w:color w:val="auto"/>
        </w:rPr>
        <w:t>(in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2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2"/>
                <w:szCs w:val="12"/>
                <w:color w:val="auto"/>
              </w:rPr>
            </w:pPr>
          </w:p>
        </w:tc>
        <w:tc>
          <w:tcPr>
            <w:tcW w:w="10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853,157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853,157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544,283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544,283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308,874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308,874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207,023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37,800</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222</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245,045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101,332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(37,800)</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16,225</w:t>
            </w:r>
          </w:p>
        </w:tc>
        <w:tc>
          <w:tcPr>
            <w:tcW w:w="6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14,207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(8,694)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112,044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(54,025)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57,797</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(3,978)</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(e)</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(j)</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25,313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earnings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(50,047)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32,484</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earnings per share:</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(h)</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16"/>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(h)</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45,215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45,215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Pro Forma Condensed Combined Statement of Earnings.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66" w:right="439" w:bottom="1440" w:gutter="0" w:footer="0" w:header="0"/>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APRIL 4,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7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57,929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77,929</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reserve for doubtful accounts of $8,902</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208,354</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3,051</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211,405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accounts receivable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(3,051)</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208,187</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208,187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66,493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66,493</w:t>
            </w:r>
          </w:p>
        </w:tc>
        <w:tc>
          <w:tcPr>
            <w:tcW w:w="0" w:type="dxa"/>
            <w:vAlign w:val="bottom"/>
          </w:tcPr>
          <w:p>
            <w:pPr>
              <w:spacing w:after="0"/>
              <w:rPr>
                <w:sz w:val="1"/>
                <w:szCs w:val="1"/>
                <w:color w:val="auto"/>
              </w:rPr>
            </w:pPr>
          </w:p>
        </w:tc>
      </w:tr>
      <w:tr>
        <w:trPr>
          <w:trHeight w:val="223"/>
        </w:trPr>
        <w:tc>
          <w:tcPr>
            <w:tcW w:w="5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544,014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161,612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161,612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498,701</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498,701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169,019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169,019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loans receivable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11,496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(11,496)</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1,414</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31,911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1,413,675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11,504</w:t>
            </w: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1,414</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1,426,593</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73,839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76,331</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(2,492)</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220,934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220,948</w:t>
            </w:r>
          </w:p>
        </w:tc>
        <w:tc>
          <w:tcPr>
            <w:tcW w:w="0" w:type="dxa"/>
            <w:vAlign w:val="bottom"/>
          </w:tcPr>
          <w:p>
            <w:pPr>
              <w:spacing w:after="0"/>
              <w:rPr>
                <w:sz w:val="1"/>
                <w:szCs w:val="1"/>
                <w:color w:val="auto"/>
              </w:rPr>
            </w:pPr>
          </w:p>
        </w:tc>
      </w:tr>
      <w:tr>
        <w:trPr>
          <w:trHeight w:val="223"/>
        </w:trPr>
        <w:tc>
          <w:tcPr>
            <w:tcW w:w="5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27,547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252,000</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279,547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33,699</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33,699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34,084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1,400</w:t>
            </w: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35,484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808,978</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808,978</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Parent Investment (NPI)</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1,049,926</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(1,049,926)</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(33,328)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(33,328)</w:t>
            </w:r>
          </w:p>
        </w:tc>
        <w:tc>
          <w:tcPr>
            <w:tcW w:w="0" w:type="dxa"/>
            <w:vAlign w:val="bottom"/>
          </w:tcPr>
          <w:p>
            <w:pPr>
              <w:spacing w:after="0"/>
              <w:rPr>
                <w:sz w:val="1"/>
                <w:szCs w:val="1"/>
                <w:color w:val="auto"/>
              </w:rPr>
            </w:pPr>
          </w:p>
        </w:tc>
      </w:tr>
      <w:tr>
        <w:trPr>
          <w:trHeight w:val="230"/>
        </w:trPr>
        <w:tc>
          <w:tcPr>
            <w:tcW w:w="5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1,016,598</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(240,496)</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776,102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1,413,675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11,504</w:t>
            </w: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1,414</w:t>
            </w: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1,426,593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Pro Forma Condensed Combined Balance Sheet.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0"/>
          </w:cols>
          <w:pgMar w:left="440" w:top="266" w:right="4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THE UNAUDITED PRO FORMA CONDENSED COMBINED FINANCIAL INFORMATION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earnings for the three months ended April 4, 2026 and for the fiscal year ended January 3, 2026 and the unaudited pro forma condensed combined balance sheet as of April 4, 2026 include the adjustments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Accounting Adjustments</w:t>
      </w:r>
    </w:p>
    <w:p>
      <w:pPr>
        <w:spacing w:after="0" w:line="135" w:lineRule="exact"/>
        <w:rPr>
          <w:sz w:val="20"/>
          <w:szCs w:val="20"/>
          <w:color w:val="auto"/>
        </w:rPr>
      </w:pPr>
    </w:p>
    <w:p>
      <w:pPr>
        <w:ind w:left="960" w:right="120" w:hanging="532"/>
        <w:spacing w:after="0" w:line="255"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approximately $252.0 million of revolving credit facility borrowings expected to be incurred on or about the closing date of the distribution in connection with the spin-off pursuant to a senior secured credit facility as described in the section of this information statement entitled “Description of Certain Indebtedness.” We expect to capitalize issuance costs of $3.0 million associated with the senior secured credit facility, which will be amortized over the life of the agreement. These issuance costs have been included in Other assets in the Unaudited Pro Forma Condensed Combined Balance Sheet. The anticipated terms of the senior secured credit facility are preliminary and subject to change, and the pro forma adjustments may change accordingly. See the section of this information statement entitled “Description of Certain Indebtedness” for additional information.</w:t>
      </w:r>
    </w:p>
    <w:p>
      <w:pPr>
        <w:spacing w:after="0" w:line="80" w:lineRule="exact"/>
        <w:rPr>
          <w:rFonts w:ascii="Times New Roman" w:cs="Times New Roman" w:eastAsia="Times New Roman" w:hAnsi="Times New Roman"/>
          <w:sz w:val="18"/>
          <w:szCs w:val="18"/>
          <w:color w:val="auto"/>
        </w:rPr>
      </w:pPr>
    </w:p>
    <w:p>
      <w:pPr>
        <w:jc w:val="both"/>
        <w:ind w:left="980" w:right="80"/>
        <w:spacing w:after="0" w:line="3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borrowings and cash and cash equivalents held by SpinCo following the spin-off, after giving effect to the spin-off and the borrowings, will depend on SpinCo’s cash flow prior to the spin-off and any adjustments to effect the targeted capital structure of SpinCo. The following represents adjustments to Cash and cash equivalents:</w:t>
      </w:r>
    </w:p>
    <w:p>
      <w:pPr>
        <w:spacing w:after="0" w:line="144"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issuance of debt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distribution to Middleby at separation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(229,000)</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pro forma adjustment to Cash and cash equivalents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ind w:left="960" w:hanging="532"/>
        <w:spacing w:after="0" w:line="255"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interest expense and amortization of debt issuance costs related to the borrowings described in note (a) above. Interest expense was calculated assuming constant debt levels and a constant interest rate throughout the period. Interest expense on new debt was calculated based on an estimated weighted average interest rate of 4.75% per annum and an anticipated undrawn commitment fee of 0.20% per annum. The anticipated terms of the senior secured credit facility are preliminary and subject to change, and the pro forma adjustments may change accordingly. See the section of this information statement entitled “Description of Certain Indebtedness” for additional information. This adjustment also includes the elimination of net interest income from related party loans with Middleby, which are subject to settlement or termination in connection with the spin-off (see note (d) below).</w:t>
      </w:r>
    </w:p>
    <w:p>
      <w:pPr>
        <w:spacing w:after="0" w:line="8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represents adjustments to Interest expense (income), net:</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80" w:type="dxa"/>
            <w:vAlign w:val="bottom"/>
          </w:tcPr>
          <w:p>
            <w:pPr>
              <w:spacing w:after="0"/>
              <w:rPr>
                <w:sz w:val="13"/>
                <w:szCs w:val="13"/>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38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vMerge w:val="continue"/>
          </w:tcPr>
          <w:p>
            <w:pPr>
              <w:spacing w:after="0"/>
              <w:rPr>
                <w:sz w:val="12"/>
                <w:szCs w:val="12"/>
                <w:color w:val="auto"/>
              </w:rPr>
            </w:pPr>
          </w:p>
        </w:tc>
        <w:tc>
          <w:tcPr>
            <w:tcW w:w="8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new debt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 on new debt</w:t>
            </w: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net interest income on related party loans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2,159</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pro forma adjustment to Interest expense (income), 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6" w:right="459" w:bottom="1440" w:gutter="0" w:footer="0" w:header="0"/>
        </w:sectPr>
      </w:pPr>
    </w:p>
    <w:bookmarkStart w:id="89" w:name="page90"/>
    <w:bookmarkEnd w:id="89"/>
    <w:p>
      <w:pPr>
        <w:ind w:left="560"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1/8 percent variance in the assumed interest rate on the floating rate indebtedness would change interest expense by $0.1 million and $0.3 million for the three months ended April 4, 2026 and for the fiscal year ended January 3, 2026, respectively.</w:t>
      </w:r>
    </w:p>
    <w:p>
      <w:pPr>
        <w:spacing w:after="0" w:line="67" w:lineRule="exact"/>
        <w:rPr>
          <w:sz w:val="20"/>
          <w:szCs w:val="20"/>
          <w:color w:val="auto"/>
        </w:rPr>
      </w:pPr>
    </w:p>
    <w:p>
      <w:pPr>
        <w:ind w:left="540" w:right="120" w:hanging="532"/>
        <w:spacing w:after="0" w:line="256"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additional transaction costs expected to be incurred after April 4, 2026 related to completion of the spin-off. These separation costs primarily relate to professional services fees, including legal counsel, financial advisors and accounting and tax advisors, and other third party costs associated with the separation of SpinCo into a standalone public company. Actual costs incurred could be different from these estimates. All transaction costs incurred on or prior to April 4, 2026 are included in our historical combined statements of earnings. We have not reflected a related adjustment within our unaudited pro forma condensed combined balance sheet as of April 4, 2026 as the related liabilities are expected to be settled by Middleby upon completion of the spin-off.</w:t>
      </w:r>
    </w:p>
    <w:p>
      <w:pPr>
        <w:spacing w:after="0" w:line="92" w:lineRule="exact"/>
        <w:rPr>
          <w:rFonts w:ascii="Times New Roman" w:cs="Times New Roman" w:eastAsia="Times New Roman" w:hAnsi="Times New Roman"/>
          <w:sz w:val="18"/>
          <w:szCs w:val="18"/>
          <w:color w:val="auto"/>
        </w:rPr>
      </w:pPr>
    </w:p>
    <w:p>
      <w:pPr>
        <w:ind w:left="540" w:right="100" w:hanging="532"/>
        <w:spacing w:after="0" w:line="258"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concluded that Middleby will not be a related party following the separation. This adjustment reflects the reclassification of transactions historically included as Related party accounts receivable and Related party accounts payable to Accounts receivable, net and Accounts payable, respectively, as these transactions will be settled in the normal course of business rather than as a result of the separation. Related party loans receivable, which are subject to settlement or termination in connection with the spin-off, have been eliminated with an offset in Additional paid-in capital (see note (g) below).</w:t>
      </w:r>
    </w:p>
    <w:p>
      <w:pPr>
        <w:spacing w:after="0" w:line="88" w:lineRule="exact"/>
        <w:rPr>
          <w:rFonts w:ascii="Times New Roman" w:cs="Times New Roman" w:eastAsia="Times New Roman" w:hAnsi="Times New Roman"/>
          <w:sz w:val="18"/>
          <w:szCs w:val="18"/>
          <w:color w:val="auto"/>
        </w:rPr>
      </w:pPr>
    </w:p>
    <w:p>
      <w:pPr>
        <w:ind w:left="540" w:right="40" w:hanging="532"/>
        <w:spacing w:after="0" w:line="256"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impact of the transaction accounting pro forma adjustments for the three months ended April 4, 2026 and for the fiscal year ended January 3, 2026. These adjustments were determined by applying the respective statutory tax rates to each of the pre-tax pro forma adjustments in jurisdictions where valuation allowances were not required, except for nondeductible transaction costs. The applicable tax rates could be impacted (either higher or lower) depending on many factors subsequent to the spin-off, including the profitability in local jurisdictions and the legal entity structure implemented subsequent to the spin-off, and may be materially different from the pro forma results.</w:t>
      </w:r>
    </w:p>
    <w:p>
      <w:pPr>
        <w:spacing w:after="0" w:line="92"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Middleby’s net investment in the Company, which was recorded in NPI, to Additional paid-in capital as well as the assumed issuance of 45,214,588 shares of our common stock with a par value of $0.01 per share pursuant to the Separation and Distribution Agreement. We have assumed the number of outstanding shares of our common stock based on the number of shares of Middleby common stock outstanding on May 21, 2026 and a distribution ratio of one share of our common stock for every one share of Middleby common stock. The actual number of shares of our common stock outstanding immediately following the distribution will depend on the actual number of shares of Middleby common stock outstanding on the record date.</w:t>
      </w:r>
    </w:p>
    <w:p>
      <w:pPr>
        <w:spacing w:after="0" w:line="9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Additional paid-in capital are summarized below:</w:t>
      </w:r>
    </w:p>
    <w:p>
      <w:pPr>
        <w:spacing w:after="0" w:line="246"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5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April 4, 2026</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distribution to Middleby at separation (see note (a))</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Related party loans receivable (see note (d))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(11,496)</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NPI reclassification (see note (f))</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1,049,926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issuance (see note (f))</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r>
      <w:tr>
        <w:trPr>
          <w:trHeight w:val="27"/>
        </w:trPr>
        <w:tc>
          <w:tcPr>
            <w:tcW w:w="5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 forma adjustment to Additional paid-in capital</w:t>
            </w:r>
          </w:p>
        </w:tc>
        <w:tc>
          <w:tcPr>
            <w:tcW w:w="172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808,978</w:t>
            </w:r>
          </w:p>
        </w:tc>
      </w:tr>
      <w:tr>
        <w:trPr>
          <w:trHeight w:val="20"/>
        </w:trPr>
        <w:tc>
          <w:tcPr>
            <w:tcW w:w="5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60" w:hanging="532"/>
        <w:spacing w:after="0" w:line="261"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common shares outstanding used to compute pro forma basic and diluted earnings per share for the three months ended April 4, 2026 and for the fiscal year ended January 3, 2026 is 45,214,588 (see note (f)). The actual dilutive effect following the completion of the spin-off will depend on various factors, including employees who may change employment between Middleby and SpinCo and the impact of Middleby and SpinCo equity-based incentive plans. We cannot estimate the dilutive effects at this time.</w:t>
      </w:r>
    </w:p>
    <w:p>
      <w:pPr>
        <w:spacing w:after="0" w:line="1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600"/>
          </w:cols>
          <w:pgMar w:left="860" w:top="270"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Autonomous Entity Adjustments</w:t>
      </w:r>
    </w:p>
    <w:p>
      <w:pPr>
        <w:spacing w:after="0" w:line="135" w:lineRule="exact"/>
        <w:rPr>
          <w:sz w:val="20"/>
          <w:szCs w:val="20"/>
          <w:color w:val="auto"/>
        </w:rPr>
      </w:pPr>
    </w:p>
    <w:p>
      <w:pPr>
        <w:ind w:left="960" w:right="80" w:hanging="532"/>
        <w:spacing w:after="0" w:line="261"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a lease arrangement with a third party for a corporate office that has been entered into prior to the spin-off. This adjustment records the operating lease right-of-use asset and related operating lease liabilities based on the estimated present value of the lease payments over the lease term. Incremental operating lease costs have been recognized in Selling, general and administrative expenses.</w:t>
      </w:r>
    </w:p>
    <w:p>
      <w:pPr>
        <w:spacing w:after="0" w:line="85"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income tax impact of the autonomous entity pro forma adjustments for the three months ended April 4, 2026 and for the fiscal year ended January 3, 2026. These adjustments were determined by applying the respective statutory tax rates to each of the pre-tax pro forma adjustments in jurisdictions where valuation allowances were not required. The applicable tax rates could be impacted (either higher or lower) depending on many factors subsequent to the spin-off, including the profitability in local jurisdictions and the legal entity structure implemented subsequent to the spin-off, and may be materially different from the pro forma results.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20"/>
          </w:cols>
          <w:pgMar w:left="440" w:top="266" w:right="5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SpinCo is a technology-focused, global leader in the design and manufacturing of equipment and aftermarket service for a broad line of solutions for industrial protein, bakery and snack food processors. We are a growth-oriented, food processing pure-play, driven by our portfolio of innovative, complementary and industry-leading brands, with a nimble and profitable operating model and proven M&amp;A track record. Our global reach—supported by established regional offices and dedicated local operating teams across key international markets—is a core strategic advantage, enabling us to serve customers with regional expertise and on-the-ground responsiveness at scale.</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SpinCo operates within the large and growing global food processing equipment and packaging industry. Global demand for food processing equipment and packaging is estimated to be in excess of $70 billion worldwide and growing at an annual rate of 3% to 4% through 2028.</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generate revenue from the design, manufacturing and installation of food processing equipment and technology solutions and aftermarket parts and service. In 2025, we generated $853 million in net sales, comprised of $512 million, or 60% of net sales, from equipment and installation and</w:t>
      </w:r>
    </w:p>
    <w:p>
      <w:pPr>
        <w:ind w:right="140"/>
        <w:spacing w:after="0" w:line="260" w:lineRule="auto"/>
        <w:rPr>
          <w:sz w:val="20"/>
          <w:szCs w:val="20"/>
          <w:color w:val="auto"/>
        </w:rPr>
      </w:pPr>
      <w:r>
        <w:rPr>
          <w:rFonts w:ascii="Times New Roman" w:cs="Times New Roman" w:eastAsia="Times New Roman" w:hAnsi="Times New Roman"/>
          <w:sz w:val="18"/>
          <w:szCs w:val="18"/>
          <w:color w:val="auto"/>
        </w:rPr>
        <w:t>$341 million, or 40% of net sales, from aftermarket parts and service. We delivered $83 million in net earnings and $152 million in Adjusted EBITDA, representing 9.7% and 17.8% of 2025 net sales, respectively.</w:t>
      </w:r>
    </w:p>
    <w:p>
      <w:pPr>
        <w:spacing w:after="0" w:line="18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brands operate in 29 total manufacturing sites globally, including 13 in the United States and 16 internationally across Denmark, France, Germany, India, Italy, Sweden and the United Kingdom. We supplement these manufacturing sites with state-of-the-art innovation centers in the United States, India and Italy, which support our brands and are available for development with technical performance and product testing for customers. Our operating footprint, supported by strategically located sales, parts and service offices, enables us to reach customers across six continents. We generated 56% of net sales in the United States and Canada and 44% of net sales in the Europe, Middle East and Africa, Latin America and Asia Pacific regions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-18415</wp:posOffset>
            </wp:positionV>
            <wp:extent cx="5194935" cy="20313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9493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customers include a diversified base of some of the largest international food processing companies and producers of protein products, such as bacon, charcuterie, sausage and hot dogs, egg bites, poultry, alternative protein, case ready, lunch meat and pet food, and producers of bakery products, such as bread and buns, artisan bread, sweet goods, cakes and muffins, biscuits, crackers, pizza and pastries, tortilla and snacks. We are witnessing food processors increasingly demand solutions to transform their operations, lowering their total cost of ownership, enhancing food quality and safety and addressing their operational safety and sustainability initiatives. No customer accounts for 10% or more of SpinCo’s net sales. As SpinCo serves a wide variety of markets, customer concentrations are not significant.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0"/>
          </w:cols>
          <w:pgMar w:left="440" w:top="266" w:right="439" w:bottom="1440" w:gutter="0" w:footer="0" w:header="0"/>
        </w:sectPr>
      </w:pPr>
    </w:p>
    <w:bookmarkStart w:id="92" w:name="page93"/>
    <w:bookmarkEnd w:id="92"/>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Through our broad and synergistic line of innovative technology and solutions, we are able to deliver a wide range of food preparation, thermal processing, slicing/packaging, automation and equipment sanitation solutions to service a variety of food processing requirements demanded by our customers across protein, bakery and snack categories. Further, we offer highly integrated total line solutions, from further processing through end-of-line, designed to provide our customers even greater financial and operational efficiencies. Following the installation of our solutions, we recognize the ongoing value in sustaining performance and reducing downtime during our customers’ food processing operations, and we strive to build upon our growing, profitable aftermarket capabilities to support our intimate customer relationships, which can span multiple decades.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Growing Platform</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2005, SpinCo has successfully created a leading portfolio of innovative food processing brands, allocating over $800 million across more than 30 acquisitions. These investments have enabled us to become a leading partner in the global food processing market and expand into new product lines, end markets and geographies, allowing SpinCo to diversify its revenue streams and more effectively insulate itself from a downturn in any one end market. Highlights of our acquisition history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142875</wp:posOffset>
            </wp:positionV>
            <wp:extent cx="5143500" cy="258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20"/>
          </w:cols>
          <w:pgMar w:left="440" w:top="270" w:right="53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3914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has been substantial consolidation among food processors across the industry, which is driving a need for equipment and solutions capable of processing large volumes of quality products consistently across the world in quicker cycle times for a variety of end product markets. Through the acquisition and integration of numerous equipment, packaging and automation solutions, SpinCo has created total line solutions for targeted value-added niches of the end product markets, including buns, bacon, charcuterie and hot dogs.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believe the food processing equipment and packaging industry remains substantially fragmented and is in the early stages of a consolidation cycle which presents an opportunity for SpinCo. Our pipeline of prospective M&amp;A targets is robust, and we expect to make strategic investments to offer additional high value solutions for our customers in attractive protein, bakery and snack end markets.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Value Proposition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a proven, collaborative, customer-centric operating model, we provide innovative, customized solutions to meet our customers’ evolving needs.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improve our customers’ ROI by lowering their cost of ownership and transforming their operations with unique solutions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5715</wp:posOffset>
            </wp:positionV>
            <wp:extent cx="4526280" cy="16973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2628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33" w:lineRule="exact"/>
        <w:rPr>
          <w:sz w:val="20"/>
          <w:szCs w:val="20"/>
          <w:color w:val="auto"/>
        </w:rPr>
      </w:pPr>
    </w:p>
    <w:p>
      <w:pPr>
        <w:ind w:left="960" w:right="120" w:hanging="424"/>
        <w:spacing w:after="0" w:line="284"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Industry-Leading Brands: </w:t>
      </w:r>
      <w:r>
        <w:rPr>
          <w:rFonts w:ascii="Times New Roman" w:cs="Times New Roman" w:eastAsia="Times New Roman" w:hAnsi="Times New Roman"/>
          <w:sz w:val="18"/>
          <w:szCs w:val="18"/>
          <w:color w:val="auto"/>
        </w:rPr>
        <w:t>We have grown to over 30 industry-leading brands across the global protein, bakery and snack food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led by passionate management teams with extensive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1440" w:right="459" w:bottom="1440" w:gutter="0" w:footer="0" w:header="0"/>
        </w:sectPr>
      </w:pPr>
    </w:p>
    <w:bookmarkStart w:id="94" w:name="page95"/>
    <w:bookmarkEnd w:id="94"/>
    <w:p>
      <w:pPr>
        <w:ind w:left="44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experience within the industry. The combination of their proven track record in new technology development, food science, operations management and deep industry knowledge positions us to build upon our long-standing customer relationships, including with some of the largest international food processing companies. The strong balance of brand identity and collaboration on customer success supports both our decentralized operating model and our ability to offer integrated solutions to drive higher ROI for our customers.</w:t>
      </w:r>
    </w:p>
    <w:p>
      <w:pPr>
        <w:spacing w:after="0" w:line="83" w:lineRule="exact"/>
        <w:rPr>
          <w:sz w:val="20"/>
          <w:szCs w:val="20"/>
          <w:color w:val="auto"/>
        </w:rPr>
      </w:pPr>
    </w:p>
    <w:p>
      <w:pPr>
        <w:ind w:left="424" w:right="120" w:hanging="424"/>
        <w:spacing w:after="0" w:line="257"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 Automation and Innovation: </w:t>
      </w:r>
      <w:r>
        <w:rPr>
          <w:rFonts w:ascii="Times New Roman" w:cs="Times New Roman" w:eastAsia="Times New Roman" w:hAnsi="Times New Roman"/>
          <w:sz w:val="18"/>
          <w:szCs w:val="18"/>
          <w:color w:val="auto"/>
        </w:rPr>
        <w:t>We develop innovative new products and automation solutions designed to help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product quality and consistency, increase throughput and yields, reduce operating and capital expenses, maximize sanitation and practice sustainability. We operate four state-of-the-art innovation centers in the United States, Italy and India. The innovative culture of SpinCo is fostered in our innovation centers, havens for development with technical performance and product testing. Food scientists and specialized engineers are readily available and dedicated to helping customers achieve operational efficiency and exceptional product quality. Select highlights of our recent innovative product developments and the range of benefits to our customers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145415</wp:posOffset>
            </wp:positionV>
            <wp:extent cx="4749165" cy="48177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49165" cy="481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444"/>
          </w:cols>
          <w:pgMar w:left="976" w:top="270" w:right="479" w:bottom="1440" w:gutter="0" w:footer="0" w:header="0"/>
        </w:sectPr>
      </w:pPr>
    </w:p>
    <w:bookmarkStart w:id="95" w:name="page96"/>
    <w:bookmarkEnd w:id="95"/>
    <w:p>
      <w:pPr>
        <w:ind w:left="960" w:right="160" w:hanging="424"/>
        <w:spacing w:after="0" w:line="261"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Nimble, Decentralized Operating Model: </w:t>
      </w:r>
      <w:r>
        <w:rPr>
          <w:rFonts w:ascii="Times New Roman" w:cs="Times New Roman" w:eastAsia="Times New Roman" w:hAnsi="Times New Roman"/>
          <w:sz w:val="18"/>
          <w:szCs w:val="18"/>
          <w:color w:val="auto"/>
        </w:rPr>
        <w:t>We empower our brands to operate in an entrepreneurial fashion and take ownership of organic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and profitability initiatives, while leveraging scaling opportunities at the SpinCo level in customer reach, supply chain and engineering and design services areas. We believe the attractive cash returns generated from this model enable us to enhance our value proposition for customers in an evolving food processing market through strategic organic and inorganic investments.</w:t>
      </w:r>
    </w:p>
    <w:p>
      <w:pPr>
        <w:spacing w:after="0" w:line="85" w:lineRule="exact"/>
        <w:rPr>
          <w:rFonts w:ascii="Times New Roman" w:cs="Times New Roman" w:eastAsia="Times New Roman" w:hAnsi="Times New Roman"/>
          <w:sz w:val="18"/>
          <w:szCs w:val="18"/>
          <w:color w:val="auto"/>
        </w:rPr>
      </w:pPr>
    </w:p>
    <w:p>
      <w:pPr>
        <w:ind w:left="960" w:right="60" w:hanging="424"/>
        <w:spacing w:after="0" w:line="277" w:lineRule="auto"/>
        <w:tabs>
          <w:tab w:leader="none" w:pos="9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M&amp;A Track Record: </w:t>
      </w:r>
      <w:r>
        <w:rPr>
          <w:rFonts w:ascii="Times New Roman" w:cs="Times New Roman" w:eastAsia="Times New Roman" w:hAnsi="Times New Roman"/>
          <w:sz w:val="17"/>
          <w:szCs w:val="17"/>
          <w:color w:val="auto"/>
        </w:rPr>
        <w:t>SpinCo’s industry-leading food processing platform has been built with our expertise in identifying, executing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integrating over 30 strategic acquisitions within SpinCo’s business representing highly complementary brands and product innovations for targeted food applications since 2005. We strive to be the acquirer of choice in part due to our global reach, entrepreneurial operating model and strong corporate culture. As a pure-play food processing company, SpinCo will no longer have to compete for corporate resources and capital to execute on inorganic growth, a benefit which we believe will drive enhanced operating and strategic performance.</w:t>
      </w:r>
    </w:p>
    <w:p>
      <w:pPr>
        <w:spacing w:after="0" w:line="73" w:lineRule="exact"/>
        <w:rPr>
          <w:rFonts w:ascii="Times New Roman" w:cs="Times New Roman" w:eastAsia="Times New Roman" w:hAnsi="Times New Roman"/>
          <w:sz w:val="17"/>
          <w:szCs w:val="17"/>
          <w:color w:val="auto"/>
        </w:rPr>
      </w:pPr>
    </w:p>
    <w:p>
      <w:pPr>
        <w:ind w:left="960" w:right="780" w:hanging="424"/>
        <w:spacing w:after="0" w:line="284"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Leadership Team and Culture: </w:t>
      </w:r>
      <w:r>
        <w:rPr>
          <w:rFonts w:ascii="Times New Roman" w:cs="Times New Roman" w:eastAsia="Times New Roman" w:hAnsi="Times New Roman"/>
          <w:sz w:val="18"/>
          <w:szCs w:val="18"/>
          <w:color w:val="auto"/>
        </w:rPr>
        <w:t>Our management team carries deep industry expertise and a commitment to fostering a culture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collaboration and integrity to drive exceptional value for our customers.</w:t>
      </w:r>
    </w:p>
    <w:p>
      <w:pPr>
        <w:spacing w:after="0" w:line="65"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Obsession with quality, which is our top priority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Lean cost structure preserving margins and contributing to our competitive advantage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Knowledgeable and passionate front-line managers who act as our ambassadors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spirit that permeates our people and our products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Entrepreneurial, brand-driven platform, with strong balance of brand identity and collaboration on customer success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conducting business, which has led to establishment of a sticky customer base</w:t>
      </w:r>
    </w:p>
    <w:p>
      <w:pPr>
        <w:spacing w:after="0" w:line="130"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global footprint with locally-based teams, designed to enable us to leverage existing relationships and drive continued growth in key markets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Growth Strategies</w:t>
      </w:r>
    </w:p>
    <w:p>
      <w:pPr>
        <w:spacing w:after="0" w:line="133" w:lineRule="exact"/>
        <w:rPr>
          <w:sz w:val="20"/>
          <w:szCs w:val="20"/>
          <w:color w:val="auto"/>
        </w:rPr>
      </w:pPr>
    </w:p>
    <w:p>
      <w:pPr>
        <w:ind w:left="960" w:right="40" w:hanging="424"/>
        <w:spacing w:after="0" w:line="261"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 with Technology, Automation and Innovation: </w:t>
      </w:r>
      <w:r>
        <w:rPr>
          <w:rFonts w:ascii="Times New Roman" w:cs="Times New Roman" w:eastAsia="Times New Roman" w:hAnsi="Times New Roman"/>
          <w:sz w:val="18"/>
          <w:szCs w:val="18"/>
          <w:color w:val="auto"/>
        </w:rPr>
        <w:t>We expect food processors to increasingly demand new and innovative equipment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food quality and safety, automation, reliability, flexibility and sustainability. We strive to extend our leadership in food processing technology, leveraging our industry expertise and proven, collaborative, customer-centric operating model to be considered the most valuable partner as food processors transform their operations.</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68" w:right="479" w:bottom="1440" w:gutter="0" w:footer="0" w:header="0"/>
        </w:sectPr>
      </w:pPr>
    </w:p>
    <w:bookmarkStart w:id="96" w:name="page97"/>
    <w:bookmarkEnd w:id="96"/>
    <w:p>
      <w:pPr>
        <w:ind w:left="424" w:hanging="424"/>
        <w:spacing w:after="0" w:line="257" w:lineRule="auto"/>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Drive Competitive Advantage with Total Line Solutions: </w:t>
      </w:r>
      <w:r>
        <w:rPr>
          <w:rFonts w:ascii="Times New Roman" w:cs="Times New Roman" w:eastAsia="Times New Roman" w:hAnsi="Times New Roman"/>
          <w:sz w:val="18"/>
          <w:szCs w:val="18"/>
          <w:color w:val="auto"/>
        </w:rPr>
        <w:t>The breadth of our industry-leading food processing brands, manufacturing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capabilities positions us to offer highly integrated total line solutions in further processing through end-of-line, providing customers a uniquely integrated solution, lowering their total cost of ownership and streamlining their operations relative to disparate solutions across multiple partners. From food preparation, thermal processing, slicing, packaging, automation and equipment sanitation solutions, we’re able to construct valuable bundled and full line offerings for the protein and bakery markets, including the illustrative examples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145415</wp:posOffset>
            </wp:positionV>
            <wp:extent cx="5212080" cy="3000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208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464"/>
          </w:cols>
          <w:pgMar w:left="976" w:top="268" w:right="45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1606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16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9019"/>
          </w:cols>
          <w:pgMar w:left="1440" w:top="1440" w:right="144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1777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177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24" w:hanging="424"/>
        <w:spacing w:after="0" w:line="257"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 Growth and Profitability from Aftermarket: </w:t>
      </w:r>
      <w:r>
        <w:rPr>
          <w:rFonts w:ascii="Times New Roman" w:cs="Times New Roman" w:eastAsia="Times New Roman" w:hAnsi="Times New Roman"/>
          <w:sz w:val="18"/>
          <w:szCs w:val="18"/>
          <w:color w:val="auto"/>
        </w:rPr>
        <w:t>Leveraging our growing, global equipment installed base, we aim to aggressively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our aftermarket parts and service revenues, maximizing this reoccurring and profitable portion of our portfolio. Our customer relationships include some that span multiple decades, and we recognize the ongoing value in sustaining performance and reducing downtime during food processing operations. We believe further localization of our parts and service platform and strategic investments in software and AI capabilities can allow us to improve speed and quality of service for our customers while expanding these profitable and reoccurring revenue sources.</w:t>
      </w:r>
    </w:p>
    <w:p>
      <w:pPr>
        <w:spacing w:after="0" w:line="87"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Aligned Geographic Presence with Market Opportunity: </w:t>
      </w:r>
      <w:r>
        <w:rPr>
          <w:rFonts w:ascii="Times New Roman" w:cs="Times New Roman" w:eastAsia="Times New Roman" w:hAnsi="Times New Roman"/>
          <w:sz w:val="18"/>
          <w:szCs w:val="18"/>
          <w:color w:val="auto"/>
        </w:rPr>
        <w:t>The global food processing equipment and packaging industry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at an annual rate of 3% to 4% through 2028, in part due to tailwinds fueled by secular growth drivers including those listed below. We believe our manufacturing, sales and aftermarket reach positions us well to capitalize on these growth trends including in Asia, Latin America and the Middle East.</w:t>
      </w:r>
    </w:p>
    <w:p>
      <w:pPr>
        <w:spacing w:after="0" w:line="114" w:lineRule="exact"/>
        <w:rPr>
          <w:sz w:val="20"/>
          <w:szCs w:val="20"/>
          <w:color w:val="auto"/>
        </w:rPr>
      </w:pPr>
    </w:p>
    <w:p>
      <w:pPr>
        <w:jc w:val="center"/>
        <w:ind w:right="456"/>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404"/>
          </w:cols>
          <w:pgMar w:left="976" w:top="1440" w:right="519" w:bottom="1440" w:gutter="0" w:footer="0" w:header="0"/>
        </w:sectPr>
      </w:pPr>
    </w:p>
    <w:bookmarkStart w:id="99" w:name="page100"/>
    <w:bookmarkEnd w:id="99"/>
    <w:p>
      <w:pPr>
        <w:ind w:left="1420" w:right="160" w:hanging="331"/>
        <w:spacing w:after="0" w:line="282"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Expanding middle class in developing economies driving purchasing power and accelerated demand for protein, bakery and snack products</w:t>
      </w:r>
    </w:p>
    <w:p>
      <w:pPr>
        <w:spacing w:after="0" w:line="67"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security initiatives are leading governments and industries to invest in domestic food processing capabilities to ensure supply chain resilience and support local manufacturing</w:t>
      </w:r>
    </w:p>
    <w:p>
      <w:pPr>
        <w:spacing w:after="0" w:line="65"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M&amp;A as a Strategic Pillar: </w:t>
      </w:r>
      <w:r>
        <w:rPr>
          <w:rFonts w:ascii="Times New Roman" w:cs="Times New Roman" w:eastAsia="Times New Roman" w:hAnsi="Times New Roman"/>
          <w:sz w:val="18"/>
          <w:szCs w:val="18"/>
          <w:color w:val="auto"/>
        </w:rPr>
        <w:t>We expect our strong cash flow generation will allow us to build upon our proven track record and prioritize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M&amp;A as a key pillar of our capital allocation strategy. We maintain a robust pipeline of acquisition targets and evaluate opportunities with a focus on driving innovation, advancing our bundled and total line solutions, accessing adjacent markets, improving post-acquisition profitability and generating attractive ROI.</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products include a comprehensive suite of cooking and baking solutions, including mixers, make-up lines, batch ovens, proofers, conveyor belt ovens, spiral ovens, serpentine ovens and other continuous processing ovens, frying systems and automated thermal processing systems. SpinCo also provides a comprehensive portfolio of complementary food preparation equipment, such as tumblers, massagers, grinders, slicers, reduction and emulsion systems, mixers, blenders, battering equipment, breading equipment, seeding equipment, water cutting systems, food presses, food suspension equipment, filling and depositing solutions and forming equipment, as well as a variety of automated loading and unloading systems, automated washing systems, auto-guided vehicles, food safety, food handling, cooling, freezing, defrosting and packaging equipment.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food processing industry historically was highly fragmented; however, increasing competition has led to more consolidation with the emergence of large conglomerates that possess a variety of food brands. The consolidation of food processing plants associated with industry mergers and acquisitions drives a need for more flexible and efficient equipment that is capable of processing large volumes of consistent quality products in quicker cycle times. In recent years, food processors have had to conform to the demands of “big box” retailers and the restaurant industry, including, most importantly, greater product consistency and exact package weights. Food processors increasingly are partnering with equipment manufacturers like SpinCo that develop technologies offering better process control for proven product consistency, innovative packaging designs and other solutions. To protect their own brands and reputations, retailers and large restaurant chains are also dictating food safety standards that are often stricter than government regulations.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positive trends and tailwinds we have identified in the industry are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Importance on Technology and Innovation to Drive Productivity and Profitability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number of factors, including raw material prices, cost of ownership of their equipment and labor and healthcare costs, are driving food processors to focus on ways to improve their profitability. In order to increase the profitability of and efficiency in processing plants, food processors increasingly pay more attention to the performance and flexibility in the functionality of their equipment. Further, food processors are continuously looking for ways to make their plants safer and reduce labor-intensive activities. Food processors are increasingly recognizing the value of new technology as an important vehicle to drive productivity and profitability in their plants. Due to customer requirements, food processors are expected to continue to demand new and innovative equipment that addresses food safety, food quality, automation, flexibility and sustainability.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Improved Living Standards in Developing Countries Leading to Increased Demand</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Improving living standards in developing countries are spurring increased worldwide demand for pre-cooked and convenience food products. As industrializing countries create more jobs, consumers in these countries will have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60"/>
          </w:cols>
          <w:pgMar w:left="440" w:top="270" w:right="499" w:bottom="1440" w:gutter="0" w:footer="0" w:header="0"/>
        </w:sectPr>
      </w:pPr>
    </w:p>
    <w:bookmarkStart w:id="100" w:name="page101"/>
    <w:bookmarkEnd w:id="100"/>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means to buy pre-cooked food products. In industrialized regions, such as Western Europe and the United States, consumers are demanding more pre-cooked and convenience food products, such as deli tray variety packs, frozen food products and ready-to-eat varieties of ethnic foods.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Consumer Preference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and Sentiment</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number of consumer trends across the industry have begun to change preference towards more attractive and convenient food alternatives, driving demand for supporting food processing equipment. The rise in “snacking culture,” paired with consumer preferences of on-the-go snacking options, has fueled demand for advanced processing equipment in the category. The convenience and ever-growing accessibility of eCommerce as a method of reaching end-consumers aligns with the fast-paced snacking culture, further fueling demand in the category. In the cake &amp; pastry category, evolving celebration culture and growing demand for customized cakes is expected to catalyze demand for equipment.</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SpinCo continues to monitor developments in the food industry related to rising consumer adoption of weight-loss treatments including Glucagon-like peptide-1 (GLP-1) products, particularly in the United States and Europe. While the expected long-term effect of such adoption is evolving, we expect a continued rise in adoption of GLP-1 products to create both disruption and opportunity for SpinCo and its food processing customers. The appetite suppression impact of GLP-1 products on its users could result in a decrease in food consumption volumes. However, we also observe changes in the types of food being consumed by GLP-1 users, including a greater focus on foods high in protein. Changes in consumer preferences, including those related to GLP-1 or otherwise, often result in food processors needing to invest in new or modified equipment and technology solutions to meet consumer demand. SpinCo believes it is well-positioned to continue partnering with its food processing customers to deliver solutions allowing them to meet evolving consumer demands.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 in Protein Sources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 in consumer preferences is spearheading a shift from red meat products to other protein sources, such as poultry, driving increased demand in food processing equipment in the category. Red meat’s relatively higher price point versus poultry continues to prove a point of contention for customers making the change.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backlog of orders for the Food Processing business was $409.9 million at January 3, 2026, which is expected to be filled by the end of fiscal 2027. The 2025 acquisitions of the Frigomeccanica and Oka businesses accounted for $60.3 million of the backlog. The Food Processing business’s backlog was $257.6 million at December 28,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SpinCo maintains a direct sales force to market the brands and maintain direct relationships with each of its customers. In North America, SpinCo employs regional sales managers, each with responsibility for a group of customers and a particular region. This sales force is complemented with involvement of executive management to maintain relationships with customer executives and facilitate coordination amongst the brands for the key global accounts. Internationally, SpinCo maintains sales and distribution offices along with global sales managers supported by a network of independent sales representatives.</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SpinCo’s sale process is highly consultative due to the highly technical nature of the equipment, especially in the case of total line solutions. During a typical sales process, salespeople make several visits to the customer’s facility to conceptually discuss the production requirements, footprint and configuration of the proposed equipment. SpinCo employs a technically proficient sales force, many of whom have previous technical experience with the company as well as education backgrounds in food science. The sales strategy of SpinCo 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01" w:name="page102"/>
    <w:bookmarkEnd w:id="101"/>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fostered by its own food technologists and with Protein and Bakery Innovation Centers in Chicago, Illinois, Dallas, Texas, India and Italy, which are available for development with technical performance and product testing for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and Product Warranty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SpinCo maintains a technical service group of employees that oversees and performs installation and startup of equipment and completes warranty and repair work. This technical service group provides services for customers both domestically and internationally. Service technicians are trained regularly on new equipment to ensure the customer receives a high level of customer service. From time to time SpinCo utilizes trained third-party technicians supervised by SpinCo employees to supplement SpinCo employees on large projects.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The food processing equipment industry is highly competitive and fragmented. Within a given product line SpinCo may compete with a variety of companies, including companies that manufacture a broad line of products and those that specialize in a particular product category. Competition is based upon many factors, including brand recognition, product features, reliability, quality, price, delivery lead times, serviceability and after-sale service. SpinCo believes that its ability to compete depends on strong brand equity, exceptional product performance, short lead-times and timely delivery, competitive pricing and superior customer service support. In the international markets, SpinCo competes with U.S. manufacturers and numerous global and local competitors. Among SpinCo’s major competitors are AMF Bakery Systems, Duravant, The GEA Group, JBT Marel Corporation and ProMach.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Quality Control</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SpinCo’s manufacturing operations provide for an expertise in the design and production of specific products for the Food Processing business. SpinCo has from time to time either consolidated manufacturing facilities producing similar product or transferred production of certain products to another existing operation with a higher level of expertise or efficiency. The Food Processing business manufactures its products in 13 domestic and 16 international production facilities.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Metal fabrication, finishing, sub-assembly and assembly operations are typically conducted at each manufacturing facility. Equipment installed at individual manufacturing facilities includes numerically controlled turret presses and machine centers, shears, press brakes, welding equipment, polishing equipment, CAD/CAM systems and product testing and quality assurance measurement devices. SpinCo’s CAD/CAM systems enable virtual electronic prototypes to be created, reviewed and refined before the first physical prototype is built.</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Detailed manufacturing drawings are quickly and accurately derived from the model and passed electronically to manufacturing for programming and optimal parts nesting on various numerically controlled punching cells. SpinCo believes that this integrated product development and manufacturing process is critical to assuring product performance, customer service and competitive pricing.</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SpinCo has established comprehensive programs to ensure the quality of products, to analyze potential product failures and to certify vendors for continuous improvement. Products manufactured by SpinCo are tested prior to shipment to ensure compliance with company standards.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Supply</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SpinCo purchases its raw materials and component parts from a number of suppliers. The majority of SpinCo’s material purchases are standard commodity-type materials, such as stainless steel, electrical components and hardware. These materials and parts generally are available in adequate quantities from numerous suppliers.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440" w:top="270" w:right="479" w:bottom="1440" w:gutter="0" w:footer="0" w:header="0"/>
        </w:sectPr>
      </w:pPr>
    </w:p>
    <w:bookmarkStart w:id="102" w:name="page103"/>
    <w:bookmarkEnd w:id="102"/>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Some component parts are obtained from sole sources of supply. In such instances, management believes it can substitute other suppliers as required. The majority of fabrication is done internally through the use of automated equipment. Certain equipment and accessories are manufactured by other suppliers for sale by SpinCo. SpinCo believes it enjoys good relationships with its suppliers.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SpinCo believes its future success will depend in part on its ability to develop new products and to improve existing products. Much of SpinCo’s research and development efforts are directed to the development and improvement of products designed to reduce cooking and processing time, increase capacity or throughput, reduce energy consumption, minimize labor costs, improve product yield and improve customer, employee and environmental safety, while maintaining consistency and quality of cooking production and food preparation. SpinCo has identified these issues as key concerns for most of its customers. SpinCo often identifies product improvement opportunities by working closely with customers on specific applications. Most research and development activities are performed by SpinCo’s technical service and engineering staff located at each manufacturing location. On occasion, SpinCo will contract outside engineering firms to assist with the development of certain technical concepts and applications.</w:t>
      </w:r>
    </w:p>
    <w:p>
      <w:pPr>
        <w:spacing w:after="0" w:line="171"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SpinCo regularly evaluates opportunities to deliver additional value to customers through innovative solutions resulting from its research and development activities. Select highlights of recent innovative solutions are shown in the “Our Competitive Strengths” section of this information statement. SpinCo expects to continue launching new products in response to our customers’ demands. However, there are no yet-to-be launched products in development that are imminent and material to the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Patents and Licenses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SpinCo has developed, acquired and assembled a leading portfolio of trademarks and trade names. SpinCo believes that these trademarks and trade names help SpinCo compete due to their recognition with customers and the food processing marketplace.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SpinCo’s leading portfolio of trade names includes Alkar, Armor Inox, Auto-Bake, Baker Thermal Solutions, Burford, Colussi Ermes, Cozzini, CV-Tek, Danfotech, Drake, Escher, Filtration Automation, Frigomeccanica, GBT GmbH Bakery, Glimek, Gorreri, Hinds-Bock, Inline Filling Systems, JC Ford, Key-Log, Maurer-Atmos, Maxmac, MP Equipment, Oka, Pacproinc, Proxaut, RapidVisionPak, Scanico, Spooner Vicars, Stewart Systems, Sveba Dahlen, Thurne and Vemac.</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SpinCo holds a broad portfolio of patents and licenses covering technology and applications related to various products, equipment and systems. Management believes the expiration of any one of these patents would not have a material adverse effect on the overall operations or profitability of SpinCo.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January 3, 2026, 2,843 persons were employed within the Food Processing business. Of this amount, 1,625 were sales, engineering, management, supervisory and administrative personnel, 1,114 were hourly production non-union workers and 104 were hourly production union members. Included in these totals were 1,647 individuals employed outside of the United States, of which 1,047 were sales, engineering, management, supervisory and administrative personnel and 600 were hourly production non-union workers. At its Lodi, Wisconsin facility, SpinCo has a contract with the International Association of Bridge, Structural, Ornamental and Reinforcing Ironworkers that expires on December 31, 2027. At its Algona, Iowa facility, SpinCo has a union contract with the United Food and Commercial Workers that expires on December 31, 2026. Management believes that the relationships between employees, unions and management are good.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will be located at 10275 West Higgins Road, Suite 300, Rosemont, IL 60018. We operate 13 manufacturing facilities in the United States and 16 manufacturing facilities internationally.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properties we use to conduct business operations are listed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84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Principal Function</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193"/>
        </w:trPr>
        <w:tc>
          <w:tcPr>
            <w:tcW w:w="3540" w:type="dxa"/>
            <w:vAlign w:val="bottom"/>
            <w:gridSpan w:val="2"/>
            <w:vMerge w:val="continue"/>
          </w:tcPr>
          <w:p>
            <w:pPr>
              <w:spacing w:after="0"/>
              <w:rPr>
                <w:sz w:val="16"/>
                <w:szCs w:val="16"/>
                <w:color w:val="auto"/>
              </w:rPr>
            </w:pPr>
          </w:p>
        </w:tc>
        <w:tc>
          <w:tcPr>
            <w:tcW w:w="4840" w:type="dxa"/>
            <w:vAlign w:val="bottom"/>
            <w:gridSpan w:val="2"/>
            <w:vMerge w:val="continue"/>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5"/>
              </w:rPr>
              <w:t>Palmetto,</w:t>
            </w:r>
          </w:p>
        </w:tc>
        <w:tc>
          <w:tcPr>
            <w:tcW w:w="3000" w:type="dxa"/>
            <w:vAlign w:val="bottom"/>
          </w:tcPr>
          <w:p>
            <w:pPr>
              <w:ind w:left="180"/>
              <w:spacing w:after="0" w:line="185" w:lineRule="exact"/>
              <w:rPr>
                <w:sz w:val="20"/>
                <w:szCs w:val="20"/>
                <w:color w:val="auto"/>
              </w:rPr>
            </w:pPr>
            <w:r>
              <w:rPr>
                <w:rFonts w:ascii="Times New Roman" w:cs="Times New Roman" w:eastAsia="Times New Roman" w:hAnsi="Times New Roman"/>
                <w:sz w:val="18"/>
                <w:szCs w:val="18"/>
                <w:color w:val="auto"/>
              </w:rPr>
              <w:t>FL</w:t>
            </w:r>
          </w:p>
        </w:tc>
        <w:tc>
          <w:tcPr>
            <w:tcW w:w="4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Manufacturing, Warehousing and Offices</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61,300</w:t>
            </w: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Leased</w:t>
            </w:r>
          </w:p>
        </w:tc>
        <w:tc>
          <w:tcPr>
            <w:tcW w:w="120" w:type="dxa"/>
            <w:vAlign w:val="bottom"/>
          </w:tcPr>
          <w:p>
            <w:pPr>
              <w:spacing w:after="0"/>
              <w:rPr>
                <w:sz w:val="16"/>
                <w:szCs w:val="16"/>
                <w:color w:val="auto"/>
              </w:rPr>
            </w:pPr>
          </w:p>
        </w:tc>
        <w:tc>
          <w:tcPr>
            <w:tcW w:w="8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Dec-30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Gainesville, GA</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107,400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Algona, IA</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Elgin, IL</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Elk Grove, IL</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101,500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Nov-29</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Clayton, NC</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Oct-29</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Maysville, OK</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44,925</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Souderton, PA</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Columbia, TN</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125,700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Mansfield, TX</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Plano, TX</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339,100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Waynesboro, VA</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Lodi, WI</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114,600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Aalborg, Denmark</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71,800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Jan-26</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Mauron, France</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107,200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Darmstadt, Germany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97,800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Mar-27</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Lunen, Germany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Feb-29</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Reichenau, Germany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Bangalore, India</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141,100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Jul-30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Casarsa della Delizia,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359,900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Casarsa della Delizia,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67,300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Aug-35</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Castelnuovo Rangone,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Aug-30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Parma,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Piumazzo,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May-30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Regio Emillia,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59,400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Vicenza, Italy</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53,500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Sep-32</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Fristad, Sweden</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173,800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Norwich, the United Kingdom</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Warehousing and Offices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43,500</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Owned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Contains three separate manufacturing facilities.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also lease small amounts of space in various other locations throughout the world for administrative, manufacturing, distribution and sales functions, and, in certain instances, limited short-term inventory storage. We believe our present facilities are adequate for the operation of our business as presently conducted.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SpinCo is subject to legal proceedings, lawsuits and other claims. Although the ultimate aggregate amount of probable monetary liability or financial impact with respect to these matters is subject to many uncertainties, SpinCo’s management believes that any monetary liability or financial impact to SpinCo from these matters, individually and in the aggregate, would not be material to SpinCo’s financial condition, results of operations or cash flows. Given the inherent unpredictability of these types of proceedings, however, it is possible that any monetary liability and financial impact to SpinCo from these matters could differ materially from SpinCo’s expectations.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66" w:right="4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MANAGEMENT’S DISCUSSION AND ANALYSIS OF FINANCIAL CONDITION AND RESULTS OF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audited combined financial statements and corresponding notes, our unaudited condensed combined financial statements and corresponding notes, the unaudited pro forma condensed combined financial information and corresponding notes and other financial information included elsewhere in this Information Statement. This discussion contains forward-looking statements that are based upon current expectations and are subject to uncertainty and changes in circumstances. For additional information, see the section of this information statement entitled “Special Note Regarding Forward-Looking Statements.” Our actual results could differ materially from the results contemplated by these forward-looking statements due to a number of factors, including those discussed below and elsewhere in this Information Statement, particularly in “Risk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SpinCo is a technology-focused, global leader in the design and manufacturing of equipment and aftermarket service for a broad line of solutions for industrial protein, bakery and snack food processors. We are a growth-oriented, food processing pure-play, driven by our portfolio of innovative, complementary and industry-leading brands, with a nimble and profitable operating model and proven M&amp;A track record. Our global reach—supported by established regional offices and dedicated local operating teams across key international markets—is a core strategic advantage, enabling us to serve customers with regional expertise and on-the-ground responsiveness at scale.</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customers include some of the largest international food processing companies and producers of protein products, such as bacon, charcuterie, sausage and hot dogs, egg bites, poultry, alternative protein, case ready, lunch meat and pet food, and producers of bakery products, such as bread and buns, artisan bread, sweet goods, cakes and muffins, biscuits, crackers, pizza and pastries, tortilla and snacks. Through our broad and synergistic line of innovative technology and solutions, we are able to deliver a wide range of food preparation, thermal processing, slicing/packaging, automation and equipment sanitation solutions to service a variety of food processing requirements demanded by our customers across protein, bakery and snack categories. Further, we offer highly integrated total line solutions, from further processing through end-of-line, designed to provide our customers even greater financial and operational efficiencies. Following the installation of our solutions, we provide aftermarket parts and service allowing our customers to sustain performance and reduce downtime during food processing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Factors Impacting Our Performance</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those discussed below and in the section of this document titled “Risk Factors.” We focus on growing our total revenues, expanding margins and generating cash.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Importance on Technology and Innovation to Drive Productivity and Profitability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number of factors, including raw material prices, cost of ownership of their equipment and labor and healthcare costs, are driving food processors to focus on ways to improve their profitability. In order to increase the profitability of and efficiency in processing plants, food processors increasingly pay more attention to the performance and flexibility in the functionality of their equipment. Further, food processors are continuously looking for ways to leverage automation and other solutions to make their plants safer and reduce labor-intensive activities. Food processors are increasingly recognizing the value of new technology as an important vehicle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66" w:right="459" w:bottom="1440" w:gutter="0" w:footer="0" w:header="0"/>
        </w:sectPr>
      </w:pPr>
    </w:p>
    <w:bookmarkStart w:id="105" w:name="page106"/>
    <w:bookmarkEnd w:id="105"/>
    <w:p>
      <w:pPr>
        <w:ind w:right="7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drive productivity and profitability in their plants. Due to customer requirements, food processors are expected to continue to demand new and innovative equipment that addresses food safety, food quality, automation, flexibility and sustainability.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Improved Living Standards in Developing Countries Leading to Increased Demand</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Improving living standards in developing countries are spurring increased worldwide demand for pre-cooked and convenience food products. As industrializing countries create more jobs, consumers in these countries will have the means to buy pre-cooked food products. In industrialized regions, such as Western Europe and the United States, consumers are demanding more pre-cooked and convenience food products, such as deli tray variety packs, frozen food products and ready-to-eat varieties of ethnic foods.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Consumer Preference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and Sentiment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number of consumer trends across the industry have begun to change preference towards more attractive and convenient food alternatives, driving demand for supporting food processing equipment. The rise in “snacking culture,” paired with consumer preferences of on-the-go snacking options, has fueled demand for advanced processing equipment in the category. The convenience and ever-growing accessibility of eCommerce as a method of reaching end-consumers aligns with the fast-paced snacking culture, further fueling demand in the category. In the cake &amp; pastry category, evolving celebration culture and growing demand for customized cakes is expected to catalyze demand for equipment.</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SpinCo continues to monitor developments in the food industry related to rising consumer adoption of weight-loss treatments including Glucagon-like peptide-1 (GLP-1) products, particularly in the United States and Europe. While the expected long-term effect of such adoption is evolving, we expect a continued rise in adoption of GLP-1 products to create both disruption and opportunity for SpinCo and its food processing customers. The appetite suppression impact of GLP-1 products on its users could result in a decrease in food consumption volumes. However, we also observe changes in the types of food being consumed by GLP-1 users, including a greater focus on foods high in protein. Changes in consumer preferences, including those related to GLP-1 or otherwise, often result in food processors needing to invest in new or modified equipment and technology solutions to meet consumer demand. SpinCo believes it is well-positioned to continue partnering with its food processing customers to deliver solutions allowing them to meet evolving consumer demands.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 in Protein Sources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 in consumer preferences is spearheading a shift from red meat products to other protein sources, such as poultry, driving increased demand in food processing equipment in the category. Red meat’s relatively higher price point versus poultry continues to prove a point of contention for customers making the change.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has completed over 30 acquisitions since 2005. SpinCo’s results of operations can be impacted by the nature and size of inorganic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expects to continue pursuing acquisitions in line with its strategic and economic initiatives.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to Standalone Company</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February 25, 2025, Middleby announced its intent to separate the Food Processing business into a standalone public company through a distribution of SpinCo common stock to Middleby stockholders. SpinCo will operate the Food Processing business, and Middleby will continue to operate the Commercial Foodservice business.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06" w:name="page107"/>
    <w:bookmarkEnd w:id="106"/>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spin-off will be effected through a pro rata distribution of all of the outstanding shares of SpinCo common stock to holders of Middleby common stock in a transaction that is intended to be tax-free to holders of Middleby common stock for U.S. federal income tax purposes.</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Completion of the spin-off is subject to certain conditions which are described more fully under “The Separation and Distribution—General— Conditions to the Distribution,” including receipt of the tax opinions from its tax counsel to the effect that the distribution will qualify as tax-free to Middleby and its stockholders for U.S. federal income tax purposes under Section 355 of the Code.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with Middleby</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Historically, we have relied on Middleby to manage certain of our operations and provide us certain services, the costs of which have historically been either allocated or directly billed to us. Historical costs for such services may not necessarily reflect the actual expenses we would have incurred, or will incur, as an independent company. In connection with the spin-off, we intend to enter into a separation and distribution agreement with Middleby and we intend to enter into certain other agreements with Middleby, including a transition services agreement, a tax matters agreement, an employee matters agreement and an intellectual property matters agreement (collectively, the “ancillary agreements”), as described in “Certain Relationships and Related Transactions—Material Agreements with Middleby.” We generally expect to be able to utilize Middleby’s services for a transitional period following the spin-off before we replace these services over time with services supplied either internally or by third parties. The expenses for the services we will receive from Middleby initially and then internally or by third parties may vary from the historical costs directly billed and allocated to us for the same services. We will face challenges as we transition to becoming a stand-alone public company, including the establishment of new functions that were previously provided by Middleby. Addressing the needs that arise from becoming a stand-alone company will require significant resources, including time and attention from our senior management and others throughout the company.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Stand-Alone Company Expenses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a result of the spin-off, we will become subject to the requirements of the federal and state securities laws and stock exchange requirements. We will have to establish additional procedures and practices as a stand-alone public company. As a result, we will incur additional costs related to external reporting, internal audit, treasury, investor relations, board of directors and officers and stock administration.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and Interest Rate Environment</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SpinCo has been negatively impacted by inflation in wages, logistics, energy, raw materials and component costs. Price increases and pricing strategies have been implemented to mitigate the impact of cost inflation on margins and SpinCo continues to actively monitor costs. High inflation and uncertainty surrounding the Federal Reserve’s interest rate policy decisions, combined with global macroeconomic uncertainty, have impacted and may continue to impact customer demand. Even in light of such headwinds, we remain focused on delivering strong financial results and executing on our long-term strategy and profitability objectives.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Labor and Logistics Constraints</w:t>
      </w:r>
    </w:p>
    <w:p>
      <w:pPr>
        <w:spacing w:after="0" w:line="119"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SpinCo continues to actively monitor global supply chain, labor and logistics constraints, which have had a negative impact on SpinCo’s ability to source parts and complete and ship units. While SpinCo is seeing improvement on certain supply chain and logistics constraints, supply chains for certain key components remain distressed. The decreased availability of resources and inflationary costs resulted in heightened inventory levels for certain components above current demand levels. To combat these pressures, SpinCo has evaluated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07" w:name="page108"/>
    <w:bookmarkEnd w:id="107"/>
    <w:p>
      <w:pPr>
        <w:ind w:left="4"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alternative sourcing, dual sourcing and collaborated across the organization, where appropriate, without materially presenting new risks or increasing current risks around quality and reliability. Our capital resources have been and SpinCo expects they will continue to be sufficient to address these challenges.</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Tariffs</w:t>
      </w:r>
    </w:p>
    <w:p>
      <w:pPr>
        <w:spacing w:after="0" w:line="119"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SpinCo continues to actively monitor and navigate the evolving international tariff environment and its potential impact on our operations and financial performance. Impositions by the United States of tariffs, sanctions or other restrictions on goods exported from the United States or imported into the United States, or countermeasures imposed in response to such actions, could increase the cost of goods for our products or reduce our ability to sell our products globally. Our focus is to mitigate negative impacts from newly imposed tariffs.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Interim Results of Operations</w:t>
      </w:r>
    </w:p>
    <w:p>
      <w:pPr>
        <w:spacing w:after="0" w:line="121"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condensed combined statements of earnings and respective financial statement line items as a percentage of net sales for the periods presented:</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r>
              <w:rPr>
                <w:rFonts w:ascii="Times New Roman" w:cs="Times New Roman" w:eastAsia="Times New Roman" w:hAnsi="Times New Roman"/>
                <w:sz w:val="10"/>
                <w:szCs w:val="10"/>
                <w:b w:val="1"/>
                <w:bCs w:val="1"/>
                <w:color w:val="auto"/>
              </w:rPr>
              <w:t>(1)</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225,046</w:t>
            </w: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168,500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147,638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107,548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60,952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59,073</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45,299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18,392</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15,542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(406)</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(475)</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16,423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4,179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12,244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SpinCo’s fiscal year ends on the Saturday nearest December 31. All fiscal quarters presented included 13 weeks.</w:t>
      </w:r>
    </w:p>
    <w:p>
      <w:pPr>
        <w:spacing w:after="0" w:line="3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Three Months Ended April 4, 2026 as Compared to Three Months Ended March 29, 2025</w:t>
      </w:r>
    </w:p>
    <w:p>
      <w:pPr>
        <w:spacing w:after="0" w:line="117"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Net sales for the three months ended April 4, 2026 increased by $56.5 million, or 33.6%, to $225.0 million as compared to $168.5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three months ended March 29, 2025. Net sales increased by $7.5 million, or 4.5%, from the fiscal 2025 acquisitions of Frigomeccanica and Oka. Excluding acquisitions, net sales increased $49.0 million, or 29.1%, from the prior year period. The impact of foreign exchange rates on foreign sales translated into U.S. Dollars for the three months ended April 4, 2026 increased net sales by approximately $7.2 million, or 4.3%. Excluding the impact of foreign exchange and acquisitions, sales increased $41.8 million, or 24.8%, for the three months ended April 4, 2026 as compared to the prior year period.</w:t>
      </w:r>
    </w:p>
    <w:p>
      <w:pPr>
        <w:spacing w:after="0" w:line="186"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Domestically, SpinCo realized a sales increase of $21.9 million, or 23.5%, to $115.3 million, as compared to $93.4 million in the prior year period. This includes an increase of $0.2 million from recent acquisitions. Excluding acquisitions, the net increase in domestic sales was $21.7 million, or 23.2%, primarily driven by increased customer investment in bakery and snack equipment following delays related to the prior year tariff environment and increases in aftermarket parts and service. International sales increased $34.6 million, or 46.1%, to $109.7 million, as compared to $75.1 million in the prior year period. This includes an increase of $7.3 million from the recent acquisitions and an increase of $7.2 million related to the favorable impact of exchange rates. Excluding the impact of foreign exchange and acquisitions, international sales increased $20.1 million, or 26.8%.</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4"/>
          </w:cols>
          <w:pgMar w:left="436" w:top="270" w:right="459" w:bottom="1440" w:gutter="0" w:footer="0" w:header="0"/>
        </w:sectPr>
      </w:pPr>
    </w:p>
    <w:bookmarkStart w:id="108" w:name="page109"/>
    <w:bookmarkEnd w:id="10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increase reflects higher sales of protein and snack equipment primarily related to projects in the European markets and increases in aftermarket parts and service.</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Gross profit increased by $16.4 million, or 26.9%, to $77.4 million in the three months ended April 4, 2026, as compared to $61.0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three months ended March 29, 2025. This includes an increase of $1.4 million from recent acquisitions and an increase of $2.6 million related to the favorable impact of exchange rates. Excluding the impact of foreign exchange and acquisitions, gross profit increased $12.4 million. Gross profit margin (gross profit as a percentage of net sales) decreased to 34.4% in the three months ended April 4, 2026, as compared to 36.2% in the prior year period. Excluding the impact of foreign exchange and acquisitions, the gross profit margin was 34.9% in the three months ended April 4, 2026. Excluding the impact of foreign exchange and acquisitions, the gross profit increase was driven by higher equipment and installation and aftermarket parts and service sales, and the gross profit margin decline was driven by tariffs, input cost inflation and product mix, partially offset by increases in relatively higher margin aftermarket parts and service sales.</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color w:val="auto"/>
        </w:rPr>
        <w:t>. Combined selling, general and administrative expenses increased to $59.1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three months ended April 4, 2026, as compared to $45.3 million in the three months ended March 29, 2025. As a percentage of net sales, selling, general and administrative expenses were 26.2% in the three months ended April 4, 2026 as compared to 26.9% in the three months ended March 29, 2025. The increase in selling, general and administrative expenses of $13.8 million, or 30.4%, is primarily due to increased compensation costs, including share-based compensation, of $9.1 million, cost increases of $3.0 million associated with acquired businesses, including $0.5 million of intangible amortization expense, and higher separation costs of $2.6 million. Foreign exchange rates had an unfavorable impact of $1.9 million.</w:t>
      </w:r>
    </w:p>
    <w:p>
      <w:pPr>
        <w:spacing w:after="0" w:line="18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RESTRUCTURING EXPENSES</w:t>
      </w:r>
      <w:r>
        <w:rPr>
          <w:rFonts w:ascii="Times New Roman" w:cs="Times New Roman" w:eastAsia="Times New Roman" w:hAnsi="Times New Roman"/>
          <w:sz w:val="18"/>
          <w:szCs w:val="18"/>
          <w:color w:val="auto"/>
        </w:rPr>
        <w:t>. Restructuring expenses decreased $0.2 million to $(0.1) million for the three months ended April 4,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$0.1 million for the three months ended March 29, 2025. Restructuring expenses related primarily to headcount reductions and facility consolidations.</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INCOME FROM OPERATIONS</w:t>
      </w:r>
      <w:r>
        <w:rPr>
          <w:rFonts w:ascii="Times New Roman" w:cs="Times New Roman" w:eastAsia="Times New Roman" w:hAnsi="Times New Roman"/>
          <w:sz w:val="18"/>
          <w:szCs w:val="18"/>
          <w:color w:val="auto"/>
        </w:rPr>
        <w:t>. Income from operations increased $2.9 million to $18.4 million in the three months ended April 4, 2026 from $15.5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three months ended March 29, 2025. Operating income as a percentage of net sales amounted to 8.2% in the three months ended April 4, 2026, as compared to 9.2% in the three months ended March 29, 2025.</w:t>
      </w:r>
    </w:p>
    <w:p>
      <w:pPr>
        <w:spacing w:after="0" w:line="17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NON-OPERATING INCOME</w:t>
      </w:r>
      <w:r>
        <w:rPr>
          <w:rFonts w:ascii="Times New Roman" w:cs="Times New Roman" w:eastAsia="Times New Roman" w:hAnsi="Times New Roman"/>
          <w:sz w:val="18"/>
          <w:szCs w:val="18"/>
          <w:color w:val="auto"/>
        </w:rPr>
        <w:t>. Interest income was less than $0.1 million in the three months ended April 4, 2026, as compared to $0.4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year period. Other income was $0.6 million in the three months ended April 4, 2026, as compared to other income of $0.5 million in the prior year period, and consists mainly of net foreign exchange gains.</w:t>
      </w:r>
    </w:p>
    <w:p>
      <w:pPr>
        <w:spacing w:after="0" w:line="17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A tax provision of $4.7 million, at an effective tax rate of 24.7%, was recorded during the three months ended April 4,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a tax provision of $4.2 million at an effective tax rate of 25.4% in the prior year period. During the three months ended April 4, 2026, the effective tax rate was lower than the prior period due to the recognition of discrete tax items. The effective tax rates for the three months ended April 4, 2026 and March 29, 2025 were higher than the U.S. statutory federal tax rate of 21.0% primarily due to non-deductible expenses, state taxes and foreign tax rate differentials.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09" w:name="page110"/>
    <w:bookmarkEnd w:id="10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Results of Operations</w:t>
      </w:r>
    </w:p>
    <w:p>
      <w:pPr>
        <w:spacing w:after="0" w:line="121"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combined statements of earnings and respective financial statement line items as a percentage of net sales for the periods presented:</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 Ended</w:t>
            </w:r>
            <w:r>
              <w:rPr>
                <w:rFonts w:ascii="Times New Roman" w:cs="Times New Roman" w:eastAsia="Times New Roman" w:hAnsi="Times New Roman"/>
                <w:sz w:val="10"/>
                <w:szCs w:val="10"/>
                <w:b w:val="1"/>
                <w:bCs w:val="1"/>
                <w:color w:val="auto"/>
              </w:rPr>
              <w:t>(1)</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853,157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$771,996</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$759,268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544,283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63.8</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466,565</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60.4</w:t>
            </w: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470,970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308,874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36.2</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305,431</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39.6</w:t>
            </w: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288,298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207,023</w:t>
            </w:r>
          </w:p>
        </w:tc>
        <w:tc>
          <w:tcPr>
            <w:tcW w:w="3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24.2</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146,619</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138,509</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2,620</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1,839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plant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spacing w:after="0"/>
              <w:rPr>
                <w:sz w:val="18"/>
                <w:szCs w:val="18"/>
                <w:color w:val="auto"/>
              </w:rPr>
            </w:pPr>
          </w:p>
        </w:tc>
        <w:tc>
          <w:tcPr>
            <w:tcW w:w="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1"/>
              </w:rPr>
              <w:t>— </w:t>
            </w:r>
          </w:p>
        </w:tc>
        <w:tc>
          <w:tcPr>
            <w:tcW w:w="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(1,139)</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101,332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11.9</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157,331</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w:t>
            </w: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147,950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(2,018)</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(2,168)</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(1,416)</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(8,694)</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(1,147)</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(8,765)</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112,044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160,646</w:t>
            </w:r>
          </w:p>
        </w:tc>
        <w:tc>
          <w:tcPr>
            <w:tcW w:w="4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4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38,367</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37,848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122,279</w:t>
            </w:r>
          </w:p>
        </w:tc>
        <w:tc>
          <w:tcPr>
            <w:tcW w:w="400" w:type="dxa"/>
            <w:vAlign w:val="bottom"/>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120,283</w:t>
            </w:r>
          </w:p>
        </w:tc>
        <w:tc>
          <w:tcPr>
            <w:tcW w:w="40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424" w:hanging="424"/>
        <w:spacing w:after="0" w:line="261" w:lineRule="auto"/>
        <w:tabs>
          <w:tab w:leader="none" w:pos="424"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SpinCo’s fiscal year ends on the Saturday nearest December 31. Fiscal years 2025, 2024 and 2023 ended on January 3, 2026, December 28, 2024 and December 30, 2023, respectively, and included 53, 52 and 52 weeks, respectively.</w:t>
      </w:r>
    </w:p>
    <w:p>
      <w:pPr>
        <w:spacing w:after="0" w:line="2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Fiscal Year Ended January 3, 2026 as Compared to December 28, 2024</w:t>
      </w:r>
    </w:p>
    <w:p>
      <w:pPr>
        <w:spacing w:after="0" w:line="117" w:lineRule="exact"/>
        <w:rPr>
          <w:sz w:val="20"/>
          <w:szCs w:val="20"/>
          <w:color w:val="auto"/>
        </w:rPr>
      </w:pPr>
    </w:p>
    <w:p>
      <w:pPr>
        <w:ind w:left="4" w:right="200"/>
        <w:spacing w:after="0" w:line="259" w:lineRule="auto"/>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Net sales in fiscal 2025 increased by $81.2 million, or 10.5%, to $853.2 million as compared to $772.0 million in fiscal 2024.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by $101.0 million, or 13.1%, from the fiscal 2024 acquisitions of GBT, MaxMac, JC Ford and Gorreri and the fiscal 2025 acquisitions of Frigomeccanica and Oka. Excluding acquisitions, net sales decreased $19.8 million, or 2.6%, as compared to fiscal 2024. The impact of foreign exchange rates on foreign sales translated into U.S. dollars in fiscal 2025 increased net sales by approximately $13.8 million. Excluding the impact of foreign exchange and acquisitions, sales decreased $33.6 million, or 4.4%.</w:t>
      </w:r>
    </w:p>
    <w:p>
      <w:pPr>
        <w:spacing w:after="0" w:line="183"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Domestically, SpinCo realized a sales increase of $30.6 million, or 6.8%, to $479.4 million, as compared to $448.8 million in fiscal 2024. This includes an increase of $41.1 million from recent acquisitions. Excluding acquisitions, the net decrease in domestic sales was $10.5 million, or 2.3%, primarily due to delays in customer investments in equipment resulting from macroeconomic uncertainty, including the evolving international tariff environment, partially offset by increases in aftermarket parts and service. International sales increased $50.6 million, or 15.7%, to $373.8 million, as compared to $323.2 million in the prior year. This includes an increase of $59.9 million from the recent acquisitions and an increase of $13.8 million related to the favorable impact of exchange rates. Excluding the impact of foreign exchange and acquisitions, international sales decreased $23.1 million, or 7.1%. The decrease in international sales reflects decreased sales of bakery and protein equipment primarily due to fewer projects in the European markets, partially offset by increases in aftermarket parts and service.</w:t>
      </w:r>
    </w:p>
    <w:p>
      <w:pPr>
        <w:spacing w:after="0" w:line="188"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Gross profit in fiscal 2025 increased by $3.5 million, or 1.1%, to $308.9 million as compared to $305.4 million in fiscal 2024.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an increase of $27.0 million from recent acquisitions and an increase of $5.8 million related to the favorable impact of exchange rates. Excluding the impact of foreign exchange and acquisitions, gross profit decreased $29.3 million. Gross profit margin (gross profit as a percentage</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4"/>
          </w:cols>
          <w:pgMar w:left="436" w:top="266" w:right="459" w:bottom="1440" w:gutter="0" w:footer="0" w:header="0"/>
        </w:sectPr>
      </w:pPr>
    </w:p>
    <w:bookmarkStart w:id="110" w:name="page111"/>
    <w:bookmarkEnd w:id="110"/>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net sales) decreased to 36.2% in 2025 as compared to 39.6% in 2024. Excluding the impact of foreign exchange and acquisitions, the gross profit margin in fiscal 2025 was 37.4%. Excluding the impact of foreign exchange and acquisitions, the gross profit and gross profit margin declines were driven by reduced operating leverage from lower equipment and installation sales, partially offset by increases in relatively higher margin aftermarket parts and service sales.</w:t>
      </w:r>
    </w:p>
    <w:p>
      <w:pPr>
        <w:spacing w:after="0" w:line="17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color w:val="auto"/>
        </w:rPr>
        <w:t>. Combined selling, general and administrative expenses increased to $207.0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fiscal 2025, as compared to $146.6 million in fiscal 2024. As a percentage of net sales, selling, general and administrative expenses were 24.2% in fiscal 2025, as compared to 19.0% in fiscal 2024. The increase in selling, general and administrative expenses of $60.4 million, or 41.2%, is primarily due to increased costs of $22.9 million associated with acquired businesses, including $4.6 million of intangible amortization expense, separation costs of $16.6 million, higher advertising and trade show expenses of $5.0 million and increased cost allocations from Middleby. Foreign exchange rates had an unfavorable impact of $2.3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EXPENSES</w:t>
      </w:r>
      <w:r>
        <w:rPr>
          <w:rFonts w:ascii="Times New Roman" w:cs="Times New Roman" w:eastAsia="Times New Roman" w:hAnsi="Times New Roman"/>
          <w:sz w:val="18"/>
          <w:szCs w:val="18"/>
          <w:color w:val="auto"/>
        </w:rPr>
        <w:t>. Restructuring expenses decreased $2.1 million to $0.5 million in fiscal 2025 from $2.6 million in fiscal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expenses related primarily to headcount reductions and facility consolidations.</w:t>
      </w:r>
    </w:p>
    <w:p>
      <w:pPr>
        <w:spacing w:after="0" w:line="20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INCOME FROM OPERATIONS</w:t>
      </w:r>
      <w:r>
        <w:rPr>
          <w:rFonts w:ascii="Times New Roman" w:cs="Times New Roman" w:eastAsia="Times New Roman" w:hAnsi="Times New Roman"/>
          <w:sz w:val="18"/>
          <w:szCs w:val="18"/>
          <w:color w:val="auto"/>
        </w:rPr>
        <w:t>. Income from operations decreased $56.0 million to $101.3 million in fiscal 2025 from $157.3 million in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Operating income as a percentage of net sales amounted to 11.9% in 2025 as compared to 20.4% in 2024.</w:t>
      </w:r>
    </w:p>
    <w:p>
      <w:pPr>
        <w:spacing w:after="0" w:line="15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NON-OPERATING INCOME</w:t>
      </w:r>
      <w:r>
        <w:rPr>
          <w:rFonts w:ascii="Times New Roman" w:cs="Times New Roman" w:eastAsia="Times New Roman" w:hAnsi="Times New Roman"/>
          <w:sz w:val="18"/>
          <w:szCs w:val="18"/>
          <w:color w:val="auto"/>
        </w:rPr>
        <w:t>. Interest income was $2.0 million in fiscal 2025, as compared to $2.2 million in fiscal 2024. Other income was $8.7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fiscal 2025, as compared to other income of $1.1 million in fiscal 2024, and consists mainly of foreign exchange gains.</w:t>
      </w:r>
    </w:p>
    <w:p>
      <w:pPr>
        <w:spacing w:after="0" w:line="15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A tax provision of $29.3 million, at an effective rate of 26.2%, was recorded during fiscal 2025, as compared to $38.4 million 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rate of 23.9% in fiscal 2024. The effective tax rates were higher than the federal tax rate of 21.0% primarily due to state taxes and foreign tax rate differentials.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December 28, 2024 as Compared to December 30, 2023</w:t>
      </w:r>
    </w:p>
    <w:p>
      <w:pPr>
        <w:spacing w:after="0" w:line="11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Net sales in fiscal 2024 increased by $12.7 million, or 1.7%, to $772.0 million as compared to $759.3 million in fiscal 2023. Net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by $24.7 million, or 3.2%, from the fiscal 2023 acquisition of Filtration Automation and the fiscal 2024 acquisitions of GBT, MaxMac, JC Ford and Gorreri. Excluding acquisitions, net sales decreased $12.0 million, or 1.6%, as compared to fiscal 2023. The impact of foreign exchange rates on foreign sales translated into U.S. dollars in fiscal 2024 decreased net sales by approximately $0.4 million. Excluding the impact of foreign exchange and acquisitions, sales decreased $11.6 million, or 1.5%.</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Domestically, SpinCo realized a sales decrease of $36.7 million, or 7.6%, to $448.8 million, as compared to $485.5 million in fiscal 2023. This includes an increase of $7.3 million from recent acquisitions. Excluding acquisitions, the net decrease in domestic sales was $44.0 million, or 9.1%. The decrease in domestic sales is driven primarily by lower sales of protein equipment due to fewer major projects, partially offset by increases in aftermarket parts and service. International sales increased $49.4 million, or 18.0%, to $323.2 million, as compared to $273.8 million in the prior year. This includes an increase of $17.4 million from the recent acquisitions and a decrease of $0.4 million related to the unfavorable impact of exchange rates. Excluding the impact of foreign exchange and acquisitions, the net sales increase in international sales was $32.4 million, or 11.8%. The increase in international sales reflects growth driven primarily by bakery and protein equipment in the European markets and aftermarket parts and service.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70" w:right="479" w:bottom="1440" w:gutter="0" w:footer="0" w:header="0"/>
        </w:sectPr>
      </w:pPr>
    </w:p>
    <w:bookmarkStart w:id="111" w:name="page112"/>
    <w:bookmarkEnd w:id="111"/>
    <w:p>
      <w:pPr>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GROSS PROFIT</w:t>
      </w:r>
      <w:r>
        <w:rPr>
          <w:rFonts w:ascii="Times New Roman" w:cs="Times New Roman" w:eastAsia="Times New Roman" w:hAnsi="Times New Roman"/>
          <w:sz w:val="18"/>
          <w:szCs w:val="18"/>
          <w:color w:val="auto"/>
        </w:rPr>
        <w:t>. Gross profit in fiscal 2024 increased by $17.1 million, or 5.9%, to $305.4 million as compared to $288.3 million in fiscal 2023.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an increase of $9.7 million from recent acquisitions and a decrease of $0.1 million related to the unfavorable impact of exchange rates. Excluding the impact of foreign exchange and acquisitions, gross profit increased $7.5 million. Gross profit margin increased to 39.6% in 2024 as compared to 38.0% in 2023. Excluding the impact of foreign exchange and acquisitions, the gross profit margin in fiscal 2024 was 39.6%. Excluding the impact of foreign exchange and acquisitions, gross profit and gross profit margin increased in fiscal 2024 despite a decrease in net sales in part due to growth in relatively higher margin aftermarket parts and service as compared to equipment and installation.</w:t>
      </w:r>
    </w:p>
    <w:p>
      <w:pPr>
        <w:spacing w:after="0" w:line="18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color w:val="auto"/>
        </w:rPr>
        <w:t>. Combined selling, general and administrative expenses increased to $146.6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fiscal 2024, as compared to $138.5 million in fiscal 2023. As a percentage of net sales, selling, general and administrative expenses were 19.0% in fiscal 2024, as compared to 18.2% in fiscal 2023.</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of $8.1 million, or 5.8% from prior year is primarily due to increased costs of $8.0 million associated with acquired businesses, including $1.2 million of intangible amortization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EXPENSES</w:t>
      </w:r>
      <w:r>
        <w:rPr>
          <w:rFonts w:ascii="Times New Roman" w:cs="Times New Roman" w:eastAsia="Times New Roman" w:hAnsi="Times New Roman"/>
          <w:sz w:val="18"/>
          <w:szCs w:val="18"/>
          <w:color w:val="auto"/>
        </w:rPr>
        <w:t>. Restructuring expenses increased $0.8 million to $2.6 million in fiscal 2024 from $1.8 million in fiscal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expenses in fiscal 2024 and in fiscal 2023 related primarily to headcount reductions and facility consolidations.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r>
        <w:rPr>
          <w:rFonts w:ascii="Times New Roman" w:cs="Times New Roman" w:eastAsia="Times New Roman" w:hAnsi="Times New Roman"/>
          <w:sz w:val="18"/>
          <w:szCs w:val="18"/>
          <w:color w:val="auto"/>
        </w:rPr>
        <w:t>. Income from operations increased $9.3 million to $157.3 million in fiscal 2024 from $148.0 million in fiscal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as a percentage of net sales amounted to 20.4% in 2024 as compared to 19.5% in 2023.</w:t>
      </w:r>
    </w:p>
    <w:p>
      <w:pPr>
        <w:spacing w:after="0" w:line="20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NON-OPERATING INCOME</w:t>
      </w:r>
      <w:r>
        <w:rPr>
          <w:rFonts w:ascii="Times New Roman" w:cs="Times New Roman" w:eastAsia="Times New Roman" w:hAnsi="Times New Roman"/>
          <w:sz w:val="18"/>
          <w:szCs w:val="18"/>
          <w:color w:val="auto"/>
        </w:rPr>
        <w:t>. Interest income was $2.2 million in fiscal 2024, as compared to $1.4 million in fiscal 2023. Other income was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fiscal 2024, as compared to other income of $8.8 million in fiscal 2023, and consists mainly of foreign exchange gains.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A tax provision of $38.4 million, at an effective rate of 23.9%, was recorded during fiscal 2024, as compared to $37.8 million at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rate of 23.9% in fiscal 2023. The effective tax rates in 2024 and 2023 were higher than the federal tax rate of 21.0% primarily due to state taxes and foreign tax rate differentials.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Historically, our business has generated positive cash flows from operations, a portion of which was transferred to Middleby. We participated in Middleby’s centralized cash management process and commingled accounts to manage liquidity and fund operations, the effect of which is presented as net parent investment in our combined financial statements included elsewhere in this information statement.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completion of this spin-off, we will cease participation in Middleby commingled accounts and our cash and cash equivalents will be held and used solely for our own operations. Our capital structure, long-term commitments and sources of liquidity will change significantly from our historical practices. For additional detail regarding changes to our capital structure, see the sections entitled “Capitalization” and “Description of Certain Indebtedness” elsewhere in this information statement.</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our existing cash and cash flows generated from operations and indebtedness to be incurred in conjunction with the spin-off, discussed in detail elsewhere in this information statement, will be sufficient to meet the needs of our current and planned operations for the next 12 months and for the foreseeable future thereafter.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66"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Interim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April 4, 2026 and March 29, 2025:</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April 4,</w:t>
            </w: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34,499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39,198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(18,416)</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(18,357)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(32,984</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and cash equivalents decreased by $33.0 million to $57.9 million at April 4, 2026 from $90.9 million at January 3, 2026.</w:t>
      </w:r>
    </w:p>
    <w:p>
      <w:pPr>
        <w:spacing w:after="0" w:line="221"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OPERATING ACTIVITIES</w:t>
      </w:r>
      <w:r>
        <w:rPr>
          <w:rFonts w:ascii="Times New Roman" w:cs="Times New Roman" w:eastAsia="Times New Roman" w:hAnsi="Times New Roman"/>
          <w:sz w:val="17"/>
          <w:szCs w:val="17"/>
          <w:color w:val="auto"/>
        </w:rPr>
        <w:t>. Net cash provided by operating activities decreased by $4.7 million, or 12.0%, to $34.5 million during the three months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ended April 4, 2026, as compared to $39.2 million during the three months ended March 29, 2025, primarily driven by working capital changes.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4, 2026, working capital changes impacted operating cash flows primarily driven by increased inventory levels of $16.3 million as a result of project timing, an increase in accrued expenses and other liabilities of $14.2 million, and a decrease in prepaid expenses and other assets of $12.0 million. The changes in accrued expenses and other liabilities and prepaid expenses and other assets were primarily driven by the timing of payments and status of over time revenue contracts.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29, 2025, working capital changes impacted operating cash flows primarily driven by a decrease in accounts receivable of $25.6 million due to timing of project billing and collections, a decrease in prepaid expenses and other assets of $6.2 million, an increase in accrued expenses and other liabilities of $5.9 million, and increased inventory levels of $18.8 million as a result of project timing. The changes in accrued expenses and other liabilities and prepaid expenses and other assets were primarily driven by the timing of payments and status of over time revenue contracts.</w:t>
      </w:r>
    </w:p>
    <w:p>
      <w:pPr>
        <w:spacing w:after="0" w:line="17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During the three months ended April 4, 2026, net cash used in investing activities decreased by $15.4 million to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as compared to $18.4 million in the three months ended March 29, 2025. Capital expenditures were $3.4 million and $19.3 million during the three months ended April 4, 2026 and March 29, 2025, respectively, primarily for upgrades of production equipment and manufacturing facilities. Capital expenditures during the three months ended March 29, 2025 also include investment in an innovation center in Italy. Net related party loan activities decreased net cash used in investing activities by $0.3 million and $0.9 million during the three months ended April 4, 2026 and March 29, 2025, respectively.</w:t>
      </w:r>
    </w:p>
    <w:p>
      <w:pPr>
        <w:spacing w:after="0" w:line="18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Net cash used in financing activities increased by $44.9 million to $63.3 million during the three months ended April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as compared to $18.4 million during the three months ended March 29, 2025. The increase relates to transfers to Middleby, which primarily represents cash management activities given cash is centrally managed at the Middleby level, and the payment of deferred purchase price for acquisitions.</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20"/>
          </w:cols>
          <w:pgMar w:left="440" w:top="266" w:right="5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fiscal years ended January 3, 2026, December 28, 2024 and December 30, 2023:</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101,638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5"/>
              </w:rPr>
              <w:t>129,011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111,915</w:t>
            </w: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(99,733)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(45,426)</w:t>
            </w:r>
          </w:p>
        </w:tc>
      </w:tr>
      <w:tr>
        <w:trPr>
          <w:trHeight w:val="216"/>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(30,474)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(21,107)</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(55,560)</w:t>
            </w:r>
          </w:p>
        </w:tc>
      </w:tr>
      <w:tr>
        <w:trPr>
          <w:trHeight w:val="216"/>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and cash equivalents increased by $31.7 million to $90.9 million at January 3, 2026 from $59.2 million at December 28, 2024.</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ACTIVITIES. </w:t>
      </w:r>
      <w:r>
        <w:rPr>
          <w:rFonts w:ascii="Times New Roman" w:cs="Times New Roman" w:eastAsia="Times New Roman" w:hAnsi="Times New Roman"/>
          <w:sz w:val="18"/>
          <w:szCs w:val="18"/>
          <w:color w:val="auto"/>
        </w:rPr>
        <w:t>Net cash provided by operating activities decreased by $27.4 million in fiscal 2025, or 21.2%, to $101.6 million,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$129.0 million in fiscal 2024, primarily driven by lower net earnings, exclusive of non-cash items, of $25.1 million.</w:t>
      </w:r>
    </w:p>
    <w:p>
      <w:pPr>
        <w:spacing w:after="0" w:line="1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by $17.1 million in fiscal 2024, or 15.3%, to $129.0 million as compared to $111.9 million in fiscal 2023, primarily driven by working capital changes.</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During fiscal 2024, working capital changes contributed to operating cash flows primarily driven by an increase in accounts receivable of $25.0 million due to timing of project billing and an increase in prepaid expenses and other assets of $18.4 million, including impacts from the timing of payments and status of over time revenue contracts, offset by decreased inventory levels of $23.1 million as a result of project timing and inventory control initiatives.</w:t>
      </w:r>
    </w:p>
    <w:p>
      <w:pPr>
        <w:spacing w:after="0" w:line="15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During fiscal 2023, working capital changes contributed to operating cash flows primarily driven by a decrease in accrued expenses and other liabilities of $58.3 million including the timing of payments and status of over time revenue contracts and a decrease in accounts payable of $19.4 million due to timing of vendor payments, offset by a decrease in accounts receivable of $17.4 million due to improved collections and a decrease in prepaid expenses and other assets of $15.0 million, including impacts from the timing of payments and status of over time revenue contracts.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SpinCo’s acquisition activities, SpinCo added assets and liabilities from the opening balance sheets of the acquired businesses in its combined balance sheets and accordingly these amounts are not reflected in the net changes in working capital.</w:t>
      </w:r>
    </w:p>
    <w:p>
      <w:pPr>
        <w:spacing w:after="0" w:line="15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INVESTING ACTIVITIES</w:t>
      </w:r>
      <w:r>
        <w:rPr>
          <w:rFonts w:ascii="Times New Roman" w:cs="Times New Roman" w:eastAsia="Times New Roman" w:hAnsi="Times New Roman"/>
          <w:sz w:val="18"/>
          <w:szCs w:val="18"/>
          <w:color w:val="auto"/>
        </w:rPr>
        <w:t>. Net cash used in investing activities decreased by $52.0 million, or 52.2%, in fiscal 2025 to $47.7 million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$99.7 million in fiscal 2024, while net cash used in investing activities increased by $54.3 million, or 119.6%, to $99.7 million in fiscal 2024 as compared to $45.4 million in fiscal 2023. Cash used to fund the fiscal 2025 acquisitions of Frigomeccanica and Oka, the fiscal 2024 acquisitions of GBT, MaxMac, JC Ford and Gorreri and the fiscal 2023 acquisition of Filtration Automation amounted to $28.5 million, $88.0 million and</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$19.8 million, respectively. Additionally, capital expenditures were $41.4 million, $12.9 million and $16.3 million in fiscal 2025, 2024 and 2023, respectively, primarily for upgrades of production equipment and manufacturing facilities. Capital expenditures in fiscal 2025 also include investment in an innovation center in Italy. Net related party loan activities decreased net cash used in investing activities by $22.3 million in fiscal 2025 and increased net cash used in investing activities by $1.4 million and $9.4 million in fiscal 2024 and 2023,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66" w:right="459" w:bottom="1440" w:gutter="0" w:footer="0" w:header="0"/>
        </w:sectPr>
      </w:pPr>
    </w:p>
    <w:bookmarkStart w:id="114" w:name="page115"/>
    <w:bookmarkEnd w:id="114"/>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FINANCING ACTIVITIES</w:t>
      </w:r>
      <w:r>
        <w:rPr>
          <w:rFonts w:ascii="Times New Roman" w:cs="Times New Roman" w:eastAsia="Times New Roman" w:hAnsi="Times New Roman"/>
          <w:sz w:val="18"/>
          <w:szCs w:val="18"/>
          <w:color w:val="auto"/>
        </w:rPr>
        <w:t>. Net cash used in financing activities increased by $9.4 million, or 44.5%, to $30.5 million in fiscal 2025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$21.1 million in fiscal 2024, while the net cash used in financing activities decreased by $34.5 million, or 62.1%, to $21.1 million in fiscal 2024 as compared to $55.6 million in fiscal 2023. The increase in fiscal 2025 relates to transfers to Middleby, which primarily represents cash management activities given cash is centrally managed at the Middleby level, partially offset by foreign loan borrowings, while the decrease in fiscal 2024 relates to transfers to Middleby.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SpinCo’s material cash requirements from contractual obligations primarily consist of foreign loans, operating and finance lease obligations, tax obligations and contingent purchase price payments to the sellers that were deferred in conjunction with various acquisitions. See Notes 3, 5, 7 and 8 to the Combined Financial Statements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historically relied, via Middleby, on the debt capital markets to fund a significant portion of our operations. We plan to continue to rely on capital markets, and we expect to have access to credit facilities to fund operations. The cost and availability of debt financing will be influenced by our future credit ratings and market conditions.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part of our capital structure, we expect to have debt. The servicing of this debt will be supported, in part, by cash flows from our existing operations. We believe that our financing arrangements, future cash from operations, and access to capital markets will provide adequate resources to fund our future cash flow needs.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December 31, 2022 through the date hereof, there were no transactions between SpinCo, its directors and executive officers that are required to be disclosed pursuant to Item 404 of Regulation S-K, promulgated under the Securities Exchange Act of 1934, as amended. See Note 9 to the Combined Financial Statements for further information on transactions with Middleby and related party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SpinCo’s combined financial statements, which have been prepared in accordance with accounting principles generally accepted in the United States. The preparation of these financial statements requires SpinCo to make significant estimates and judgments that affect the reported amounts of assets, liabilities, revenues and expenses, as well as related disclosures. On an ongoing basis, SpinCo evaluates its estimates and judgments based on historical experience and various other factors that are believed to be reasonable under the circumstances. Actual results may differ from these estimates under different assumptions or conditions and any such differences could be material to our combined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control of the promised goods or services are transferred to our customers, in an amount that reflects the consideration that we expect to receive in exchange for those goods or services.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SpinCo’s contracts can have multiple performance obligations or just a single performance obligation. For contracts with multiple performance obligations, the contract’s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60"/>
          </w:cols>
          <w:pgMar w:left="440" w:top="266" w:right="499" w:bottom="1440" w:gutter="0" w:footer="0" w:header="0"/>
        </w:sectPr>
      </w:pPr>
    </w:p>
    <w:bookmarkStart w:id="115" w:name="page116"/>
    <w:bookmarkEnd w:id="115"/>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price is allocated to each performance obligation using SpinCo’s best estimate of the standalone selling price of each distinct good or service in the contract.</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SpinCo estimates the standalone selling price for equipment and services based on expected cost to manufacture the good or complete the service plus an appropriate profit margin. The estimated standalone selling price of aftermarket parts is based on observable prices.</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SpinCo’s standard payment terms are less than one year, SpinCo does not assess whether a contract has a significant financing component. SpinCo treats shipping and handling activities performed after the customer obtains control of the good as a contract fulfillment activity. Sales, use and value added taxes assessed by governmental authorities are excluded from the measurement of the transaction price within SpinCo’s contracts with its customers. SpinCo generally expenses sales commissions when incurred because the amortization period would have been less than one year. These costs are recorded within selling, general and administrative expenses.</w:t>
      </w:r>
    </w:p>
    <w:p>
      <w:pPr>
        <w:spacing w:after="0" w:line="18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Control may pass to the customer over time or at a point in time. In general, revenue from equipment sold under our long-term contracts is recognized over time as the equipment is manufactured and assembled. Equipment that is highly customized and for which we have a contractual, enforceable right to collect payment upon customer cancellation for performance completed to date qualifies for over time revenue recognition. With control transferring over time, revenue is recognized based on the extent of progress towards completion of the performance obligation. Installation services provided in connection with the delivery of the equipment are also generally recognized as those services are rendered.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direct labor hours incurred to date to the total estimated direct labor hours at completion of the performance obligation. The selection of the method to measure progress towards completion requires judgment. These measures include forecasts based on the best information available and therefore reflect SpinCo’s judgment to faithfully depict the transfer of the goods. Revenue generated from standard equipment, contracts without an enforceable right to payment for performance completed to date, as well as aftermarket parts, are recognized at the point in time control transfers to the customer, which is typically based on contractual shipping terms.</w:t>
      </w:r>
    </w:p>
    <w:p>
      <w:pPr>
        <w:spacing w:after="0" w:line="18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Contract revenues are determined by negotiated contract prices, modified by our assumptions regarding contract modifications, which are common in the performance of our contracts. Contracts modified typically result from changes in scope, specifications, design, performance, or period of completion. In most cases, contract modifications are for services that are not distinct, and, therefore, are accounted for as part of the existing contract.</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These assumptions are dependent upon the accuracy of a variety of estimates, including engineering progress, achievement of milestones, labor productivity, and cost estimates. Due to uncertainties inherent in the estimation process, it is possible that actual completion costs may vary from estimates. Contract estimates are regularly monitored and revised based on changes in circumstances. Impacts from changes in estimates of net sales and cost of sales are recognized on a cumulative catch-up basis, which recognizes in the current period the cumulative effect of the changes based on a performance obligation’s percentage of completion. If estimated total costs on contracts indicate a loss or reduction to the percentage of total contract revenues recognized to date, these losses or reductions are recognized in the period in which the revisions are known. SpinCo has not recognized material favorable or unfavorable changes in estimates related to its contracts with customers in the years ended January 3, 2026, December 28, 2024 or December 30,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the first-in, first-out method for the majority of SpinCo’s inventories. SpinCo evaluates the need to record valuation adjustments for inventory on a</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0"/>
          </w:cols>
          <w:pgMar w:left="440" w:top="270" w:right="479" w:bottom="1440" w:gutter="0" w:footer="0" w:header="0"/>
        </w:sectPr>
      </w:pPr>
    </w:p>
    <w:bookmarkStart w:id="116" w:name="page117"/>
    <w:bookmarkEnd w:id="116"/>
    <w:p>
      <w:pPr>
        <w:ind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regular basis. SpinCo’s policy is to evaluate all inventories including raw material, work-in-process, finished goods, and spare parts. Inventory in excess of estimated usage requirements is written down to its estimated net realizable value. Inherent in the estimates of net realizable value are estimates related to our future manufacturing schedules, customer demand, possible alternative uses and ultimate realization of potentially excess inventory.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Indefinite-Life Intangibles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SpinCo’s business acquisitions result in the recognition of goodwill and other intangible assets, which are a significant portion of SpinCo’s total assets. Goodwill represents the excess of acquisition costs over the fair value of the net tangible assets and identifiable intangible assets acquired in a business combination. Identifiable intangible assets are recognized separately from goodwill and include trademarks and trade names, technology, customer relationships and other specifically identifiable assets. Trademarks and trade names are deemed to be indefinite-lived. Goodwill and indefinite-lived intangible assets are not amortized but are subject to impairment testing.</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an annual basis on the first day of the fourth quarter, or more frequently if triggering events occur, SpinCo performs an impairment assessment for goodwill and indefinite-lived intangible assets. SpinCo considers qualitative factors to assess if it is more likely than not that the fair value of goodwill and indefinite-lived intangible assets is below the carrying value.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conducting a qualitative assessment, SpinCo analyzes a variety of events or factors that may influence the fair value of the reporting unit, including, but not limited to, the results of prior quantitative assessments performed, changes in the carrying amount of the reporting unit, actual and projected revenue and operating margin, relevant market data for both SpinCo and its peer companies, industry outlooks, macroeconomic conditions, liquidity, changes in key personnel and SpinCo’s competitive position. Significant judgment is used to evaluate the totality of these events and factors to make the determination of whether it is more likely than not that the fair value of the reporting unit or indefinite-life intangible is less than its carrying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Valuations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Food Processing Equipment Group comprises a single reportable and operating segment, which is also our single reporting unit. We test goodwill for impairment at our operating segment. If the fair value is less than its carrying value, an impairment loss, if any, is recorded for the difference between the implied fair value and the carrying value of goodwill.</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performing a quantitative assessment, if required, SpinCo estimates the reporting unit’s fair value under an income approach using a discounted cash flow model. The income approach uses the reporting unit’s projection of estimated operating results and cash flows that are discounted using a market participant discount rate based on a weighted-average cost of capital. The financial projections reflect management’s best estimate of economic and market conditions over the projected period including forecasted revenue growth, operating margins, tax rate, capital expenditures, depreciation, amortization and changes in working capital requirements. Other assumptions include discount rate and terminal growth rate. The estimated fair value of the reporting unit is compared to the respective carrying value.</w:t>
      </w:r>
    </w:p>
    <w:p>
      <w:pPr>
        <w:spacing w:after="0" w:line="18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 a result of the qualitative assessment for the Food Processing Equipment Group as of September 28, 2025 and September 29, 2024, SpinCo determined there were no impairment indicators for the period ended January 3, 2026 or the period ended December 28, 2024.</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estimating the fair value of the business, management relies on a number of factors, including operating results, business plans, economic projections, anticipated future cash flows, comparable transactions and other market data. There are inherent uncertainties related to these factors and management’s judgment in applying them in the impairment tests of goodwill. If actual results are not consistent with management’s estimate and assumptions, a material impairment could have an adverse effect on SpinCo’s financial condition and results of operations.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Indefinite-Life Intangible Valuations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performing a quantitative assessment of indefinite-life intangible assets other than goodwill, which consist of trademarks and trade names, we analyze a variety of events or factors that may impact the fair value, including, but not limited to, macroeconomic conditions, industry and market considerations, cost factors, overall financial performance and other relevant factors. We estimate the fair value of these intangible assets using the relief from royalty method which requires assumptions related to projected revenues from our long-range plans, assumed royalty rates that could be payable if we did not own the trademark and a discount rate using a market based weighted-average cost of capital. If the estimated fair value of the indefinite-life intangible asset is less than its carrying value, we would recognize an impairment loss.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Based on the qualitative assessments as of September 28, 2025 and September 29, 2024, SpinCo identified a single trademark with indicators of potential risk for impairment in each annual assessment and performed a quantitative assessment. The primary indicator of impairment was market conditions resulting in lower than expected revenue performance in the current year and forecasted revenues for future periods. In performing the quantitative analysis on these trademark assets, significant assumptions used in our relief from royalty model included revenue growth rates, assumed royalty rates and the discount rate, which are discussed further below.</w:t>
      </w:r>
    </w:p>
    <w:p>
      <w:pPr>
        <w:spacing w:after="0" w:line="89" w:lineRule="exact"/>
        <w:rPr>
          <w:sz w:val="20"/>
          <w:szCs w:val="20"/>
          <w:color w:val="auto"/>
        </w:rPr>
      </w:pPr>
    </w:p>
    <w:p>
      <w:pPr>
        <w:ind w:left="960" w:right="580" w:hanging="424"/>
        <w:spacing w:after="0" w:line="282"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rates relate to projected revenues from our long-range plans and vary from brand to brand. Adverse changes in the operating environment or our inability to grow revenues at the forecasted rates may result in a material impairment charge.</w:t>
      </w:r>
    </w:p>
    <w:p>
      <w:pPr>
        <w:spacing w:after="0" w:line="67" w:lineRule="exact"/>
        <w:rPr>
          <w:rFonts w:ascii="Times New Roman" w:cs="Times New Roman" w:eastAsia="Times New Roman" w:hAnsi="Times New Roman"/>
          <w:sz w:val="18"/>
          <w:szCs w:val="18"/>
          <w:color w:val="auto"/>
        </w:rPr>
      </w:pPr>
    </w:p>
    <w:p>
      <w:pPr>
        <w:ind w:left="960" w:right="240" w:hanging="424"/>
        <w:spacing w:after="0" w:line="261"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royalty rates for the valuation of our trademarks, we considered factors that affect the assumed royalty rates that would hypothetically be paid for the use of the trademarks. The most significant factors in determining the assumed royalty rates include the overall role and importance of the trademarks in the particular industry, the profitability of the products utilizing the trademarks, and the position of the trademarked products in the given market segment.</w:t>
      </w:r>
    </w:p>
    <w:p>
      <w:pPr>
        <w:spacing w:after="0" w:line="85" w:lineRule="exact"/>
        <w:rPr>
          <w:rFonts w:ascii="Times New Roman" w:cs="Times New Roman" w:eastAsia="Times New Roman" w:hAnsi="Times New Roman"/>
          <w:sz w:val="18"/>
          <w:szCs w:val="18"/>
          <w:color w:val="auto"/>
        </w:rPr>
      </w:pPr>
    </w:p>
    <w:p>
      <w:pPr>
        <w:jc w:val="both"/>
        <w:ind w:left="960" w:right="200" w:hanging="424"/>
        <w:spacing w:after="0" w:line="266" w:lineRule="auto"/>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developing discount rates for the valuation of our trademarks, we used the market based weighted average cost of capital, adjusted for higher relative level of risks associated with doing business in other countries, as applicable, as well as the higher relative levels of risks associated with intangible assets.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further details associated with SpinCo’s trademarks impairment testing, see Note 3(e) to the Combined Financial Statements. Based on the results of the quantitative assessments, SpinCo recorded an impairment charge of $1.3 million for the period ended January 3, 2026 and no impairment charge for the period ended December 28, 2024. The gross value of the trademarks and trade names tested during the period ended January 3, 2026 was $2.6 million. SpinCo believes the assumptions utilized within the quantitative analyses are reasonable and consistent with assumptions that would be used by other marketplace participants.</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SpinCo continues to monitor global and regional economic market conditions and the underlying demand for its products to assess the impact on its business and financial performance. If actual results are not consistent with management’s estimates and assumptions, a material impairment charge of our trademarks and trade names could occur, which could have an adverse effect on SpinCo’s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SpinCo provides deferred income tax assets and liabilities based on the estimated future tax effects of differences between the financial and tax bases of assets and liabilities based on currently enacted tax laws. SpinCo’s deferred and other tax balances are based on management’s interpretation of the tax regulations and rulings in numerous jurisdictions. Income tax expense and liabilities recognized by SpinCo also reflect its best estimates and assumptions regarding, among other things, the level of future taxable income and uncertain tax positions. Future tax authority rulings and changes in tax laws, changes in projected levels of taxable income and future tax planning strategies could affect the actual effective tax rate and tax balances recorded by SpinCo. SpinCo follows the provisions under ASC 740-10-25 that provides a recognition threshold and measurement criteria for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66" w:right="459" w:bottom="1440" w:gutter="0" w:footer="0" w:header="0"/>
        </w:sectPr>
      </w:pPr>
    </w:p>
    <w:bookmarkStart w:id="118" w:name="page119"/>
    <w:bookmarkEnd w:id="118"/>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statement recognition of a tax benefit taken or expected to be taken in a tax return.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3(r) to the Combined Financial Statements for further information on the new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 Factors That May Affect Future Results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SpinCo believes the risks and uncertainties described in “Risk Factors” and in “Special Note Regarding Forward-Looking Statements” are the material risks it faces. Additional risks and uncertainties not currently known to SpinCo or that it currently deems immaterial may impair its business operations. If any of the risks identified in “Risk Factors” actually occurs, SpinCo’s business, results of operations and financial condition could be materially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SpinCo is exposed to certain market risks that exist as part of its ongoing business operations, including fluctuations in changes in foreign currency exchange rates and price volatility for certain commodities.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Derivative Financial Instruments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SpinCo uses derivative financial instruments, principally foreign currency forward purchase and sale contracts with terms of less than one year, to hedge its exposure to changes in foreign currency exchange rates. SpinCo’s primary hedging activities are to mitigate its exposure to changes in exchange rates on intercompany and third-party trade receivables and payables. SpinCo does not currently enter into derivative financial instruments for trading or speculative purposes. In managing its foreign currency exposures, SpinCo identifies and aggregates naturally occurring offsetting positions and then hedges residual balance sheet exposures. Hedging activities are managed at Middleby and were included in the allocation of corporate expenses to the Food Processing business as further described in Note 9 to the Combined Financial Statements. Changes in the market value and related foreign exchange gains and losses identifiable to the Food Processing business were recorded in the Combined Statements of Earnings.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Risk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operations of SpinCo require the use of various commodities, primarily including copper, nickel and steel. Fluctuations in the prices and availability of these commodities can impact our cost of sales and thus our profitability. To mitigate this risk, we have implemented various strategies, including commercial actions and diversification of our supplier base. We continually monitor our exposure to commodity price fluctuations and adjust our risk management strategies as necessary.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SpinCo supplements its combined financial statements presented on a GAAP basis with this non-GAAP financial information to provide investors with greater insight, increase transparency and allow for a more comprehensive understanding of the information used by management in its financial and operational decision-making. The non-GAAP financial measures disclosed by SpinCo should not be considered a substitute for, or superior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80"/>
          </w:cols>
          <w:pgMar w:left="440" w:top="270" w:right="479" w:bottom="1440" w:gutter="0" w:footer="0" w:header="0"/>
        </w:sectPr>
      </w:pPr>
    </w:p>
    <w:bookmarkStart w:id="119" w:name="page120"/>
    <w:bookmarkEnd w:id="119"/>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measures prepared in accordance with GAAP, and the financial results prepared in accordance with GAAP and reconciliations from these results should be carefully evaluated. In addition, the non-GAAP financial measures do not have standard meanings and may vary from similarly titled non-GAAP financial measures used by other companies.</w:t>
      </w:r>
    </w:p>
    <w:p>
      <w:pPr>
        <w:spacing w:after="0" w:line="176"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SpinCo believes that the Adjusted EBITDA and Adjusted EBITDA % measures are useful as supplements to its GAAP results of operations to evaluate certain aspects of its operations and financial performance, and its management team primarily focuses on non-GAAP items in evaluating performance for business planning purposes. SpinCo defines Adjusted EBITDA as net earnings before interest, income taxes, depreciation, and intangible amortization, or EBITDA, less restructuring, acquisition related adjustments, impairment charges, stock compensation and other items which management considers to be outside core operating results. SpinCo defines Adjusted EBITDA % as Adjusted EBITDA divided by net sales. SpinCo also believes that these measures assist it with comparing its performance between various reporting periods on a consistent basis, as these measures remove from operating results the impact of items that, in its opinion, do not reflect its core operating performance including, for example, intangibles amortization expense, restructuring expenses, and other charges which management considers to be outside core operating results.</w:t>
      </w:r>
    </w:p>
    <w:p>
      <w:pPr>
        <w:spacing w:after="0" w:line="192"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SpinCo believes that its presentation of these non-GAAP financial measures is useful because it provides investors and securities analysts with the same information that SpinCo uses internally for purposes of assessing its core operating performance.</w:t>
      </w:r>
    </w:p>
    <w:p>
      <w:pPr>
        <w:spacing w:after="0" w:line="182"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left="1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225,046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168,500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$853,157</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$771,996</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$759,268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14,319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12,244</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82,698</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122,279</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earnings % of net sales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6.4%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9.7%</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15.8%</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(406)</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(2,018)</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(2,168)</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4,179</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29,346</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38,367</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3,050</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13,321</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10,543</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2,914</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11,697</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8,091</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income, net </w:t>
            </w:r>
            <w:r>
              <w:rPr>
                <w:rFonts w:ascii="Times New Roman" w:cs="Times New Roman" w:eastAsia="Times New Roman" w:hAnsi="Times New Roman"/>
                <w:sz w:val="25"/>
                <w:szCs w:val="25"/>
                <w:color w:val="auto"/>
                <w:vertAlign w:val="superscript"/>
              </w:rPr>
              <w:t>(1)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(8,694)</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(1,147)</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417</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3,167</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6,905</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Restructuring expenses </w:t>
            </w:r>
            <w:r>
              <w:rPr>
                <w:rFonts w:ascii="Times New Roman" w:cs="Times New Roman" w:eastAsia="Times New Roman" w:hAnsi="Times New Roman"/>
                <w:sz w:val="25"/>
                <w:szCs w:val="25"/>
                <w:color w:val="auto"/>
                <w:vertAlign w:val="superscript"/>
              </w:rPr>
              <w:t>(2)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519</w:t>
            </w: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2,620</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Acquisition related adjustments </w:t>
            </w:r>
            <w:r>
              <w:rPr>
                <w:rFonts w:ascii="Times New Roman" w:cs="Times New Roman" w:eastAsia="Times New Roman" w:hAnsi="Times New Roman"/>
                <w:sz w:val="25"/>
                <w:szCs w:val="25"/>
                <w:color w:val="auto"/>
                <w:vertAlign w:val="superscript"/>
              </w:rPr>
              <w:t>(3)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570</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3,618</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1,702</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Separation costs </w:t>
            </w:r>
            <w:r>
              <w:rPr>
                <w:rFonts w:ascii="Times New Roman" w:cs="Times New Roman" w:eastAsia="Times New Roman" w:hAnsi="Times New Roman"/>
                <w:sz w:val="25"/>
                <w:szCs w:val="25"/>
                <w:color w:val="auto"/>
                <w:vertAlign w:val="superscript"/>
              </w:rPr>
              <w:t>(4)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6,055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3,473</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16,595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plant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(1,139)</w:t>
            </w: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34,159</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26,077</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151,549</w:t>
            </w: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186,053</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175,096</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Adjusted EBITDA % of net sales</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15.2%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15.5%</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17.8%</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24.1%</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71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9"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net consists of foreign exchange gains and other nonoperating items which management considers to be outside core operating results.</w:t>
      </w:r>
    </w:p>
    <w:p>
      <w:pPr>
        <w:spacing w:after="0" w:line="3" w:lineRule="exact"/>
        <w:rPr>
          <w:rFonts w:ascii="Times New Roman" w:cs="Times New Roman" w:eastAsia="Times New Roman" w:hAnsi="Times New Roman"/>
          <w:sz w:val="14"/>
          <w:szCs w:val="14"/>
          <w:color w:val="auto"/>
        </w:rPr>
      </w:pPr>
    </w:p>
    <w:p>
      <w:pPr>
        <w:ind w:left="424" w:hanging="424"/>
        <w:spacing w:after="0" w:line="221" w:lineRule="auto"/>
        <w:tabs>
          <w:tab w:leader="none" w:pos="42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expenses relate primarily to headcount reductions and facility consolidations.</w:t>
      </w:r>
    </w:p>
    <w:p>
      <w:pPr>
        <w:ind w:left="424" w:hanging="424"/>
        <w:spacing w:after="0" w:line="221" w:lineRule="auto"/>
        <w:tabs>
          <w:tab w:leader="none" w:pos="42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related adjustments consist of changes in the fair value of contingent consideration and inventory step-up charges.</w:t>
      </w:r>
    </w:p>
    <w:p>
      <w:pPr>
        <w:ind w:left="424" w:right="380" w:hanging="424"/>
        <w:spacing w:after="0" w:line="239" w:lineRule="auto"/>
        <w:tabs>
          <w:tab w:leader="none" w:pos="42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Separation costs consist of professional services fees, including legal counsel, financial advisors, and accounting and tax advisors, and other third party costs associated with the separation of SpinCo into a standalone public company.</w:t>
      </w:r>
    </w:p>
    <w:p>
      <w:pPr>
        <w:spacing w:after="0" w:line="11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64"/>
          </w:cols>
          <w:pgMar w:left="436" w:top="270" w:right="49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Following the Spin-Off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Following the spin-off, we will be an independent, publicly traded company. The following table sets forth information regarding individuals who are expected to serve as SpinCo’s executive officers, including their positions after the spin-off, and is followed by biographies of each such executive officer. We expect that additional executive officers will be subsequently added. While some of SpinCo’s executive officers are currently employees of Middleby, after the spin-off, none of these individuals will be employees of Middleby. The information set forth below is as of May 4, 2026.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20" w:type="dxa"/>
            <w:vAlign w:val="bottom"/>
          </w:tcPr>
          <w:p>
            <w:pPr>
              <w:spacing w:after="0"/>
              <w:rPr>
                <w:sz w:val="16"/>
                <w:szCs w:val="16"/>
                <w:color w:val="auto"/>
              </w:rPr>
            </w:pPr>
          </w:p>
        </w:tc>
        <w:tc>
          <w:tcPr>
            <w:tcW w:w="48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 Salman</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Borders>
              <w:top w:val="single" w:sz="8" w:color="CCEEFF"/>
            </w:tcBorders>
            <w:shd w:val="clear" w:color="auto" w:fill="CCEEFF"/>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Amy A. Campbell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S. Bowie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w:t>
            </w:r>
          </w:p>
        </w:tc>
        <w:tc>
          <w:tcPr>
            <w:tcW w:w="5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R. Fuchsen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Chief Strategy Officer</w:t>
            </w:r>
          </w:p>
        </w:tc>
      </w:tr>
    </w:tbl>
    <w:p>
      <w:pPr>
        <w:spacing w:after="0" w:line="17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 M. Salman </w:t>
      </w:r>
      <w:r>
        <w:rPr>
          <w:rFonts w:ascii="Times New Roman" w:cs="Times New Roman" w:eastAsia="Times New Roman" w:hAnsi="Times New Roman"/>
          <w:sz w:val="18"/>
          <w:szCs w:val="18"/>
          <w:color w:val="auto"/>
        </w:rPr>
        <w:t>will serve as SpinCo’s Chief Executive Officer and a member of the SpinCo Board. Mr. Salman has served as the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Middleby’s Food Processing Group since January 2018. In that role, he led the growth and transformation of Middleby’s Food Processing Group, dramatically growing the business’ revenue, EBITDA and EBITDA margin through a combination of organic growth and integrating new companies into the Middleby Food Processing portfolio, and acted as the chief architect of strategies that expanded the business into new distribution channels and established a clear and differentiated position in the marketplace. Prior to becoming President, Mr. Salman served as President of Middleby Bakery from November 2015 to December 2017.</w:t>
      </w:r>
    </w:p>
    <w:p>
      <w:pPr>
        <w:spacing w:after="0" w:line="1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Amy A. Campbell </w:t>
      </w:r>
      <w:r>
        <w:rPr>
          <w:rFonts w:ascii="Times New Roman" w:cs="Times New Roman" w:eastAsia="Times New Roman" w:hAnsi="Times New Roman"/>
          <w:sz w:val="18"/>
          <w:szCs w:val="18"/>
          <w:color w:val="auto"/>
        </w:rPr>
        <w:t>will serve as SpinCo’s Chief Financial Officer. Ms. Campbell has served as the Chief Financial Officer of Middleby’s Food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since April 2026. Ms. Campbell has extensive financial leadership experience, most recently serving as CFO of REV Group, Inc. (NYSE: REVG), a leading manufacturer of specialty vehicles, from April 2024 until REV Group’s acquisition in February 2026. Before joining REV Group, Ms. Campbell served as CFO of ASC Engineered Solutions (July 2021 – April 2024) and CFO of BrandSafway’s Commercial and Industrial Division (June 2019 – July 2021), after spending 23 years at Caterpillar, Inc., serving in numerous roles including Vice President of Investor Relations (January 2016 – February 2019), Chief Audit Officer (November 2013 – January 2016) and several segment CFO roles.</w:t>
      </w:r>
    </w:p>
    <w:p>
      <w:pPr>
        <w:spacing w:after="0" w:line="182"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 S. Bowie </w:t>
      </w:r>
      <w:r>
        <w:rPr>
          <w:rFonts w:ascii="Times New Roman" w:cs="Times New Roman" w:eastAsia="Times New Roman" w:hAnsi="Times New Roman"/>
          <w:sz w:val="18"/>
          <w:szCs w:val="18"/>
          <w:color w:val="auto"/>
        </w:rPr>
        <w:t>will serve as SpinCo’s Chief Operating Officer. Mr. Bowie has served as the Chief Operating Officer of Middleby’s Food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since January 2026. Prior to that, Mr. Bowie served as the CEO of In-Place Machining, a machining service company, from June 2024 until September 2025, and CEO of LPW Group, a leading manufacturer of flow control components, from January 2022 until July 2024. Prior to those experiences, Mr. Bowie was the President of Tipper Tie and Schroder, a division of JBT Corporation making food processing equipment and consumables, from April 2019 to January 2022.</w:t>
      </w:r>
    </w:p>
    <w:p>
      <w:pPr>
        <w:spacing w:after="0" w:line="1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Matthew R. Fuchsen </w:t>
      </w:r>
      <w:r>
        <w:rPr>
          <w:rFonts w:ascii="Times New Roman" w:cs="Times New Roman" w:eastAsia="Times New Roman" w:hAnsi="Times New Roman"/>
          <w:sz w:val="18"/>
          <w:szCs w:val="18"/>
          <w:color w:val="auto"/>
        </w:rPr>
        <w:t>will serve as SpinCo’s Chief Strategy Officer. Mr. Fuchsen has served as Middleby’s Chief Development Officer since May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that role, he has led Middleby’s key strategic growth initiative of adding and integrating new companies to the Middleby portfolio and overseen Middleby’s corporate tax function. Prior to becoming Chief Development Officer, Mr. Fuchsen was with Middleby for more than a decade in roles of increasing responsibility. After joining Middleby in 2011 as a Senior Tax Manager, he was promoted to VP of Tax in 2014 and, in 2018, assumed more responsibility identifying, managing and executing Middleby’s mergers and acquisitions strategy as VP of M&amp;A and Tax. Mr. Fuchsen has over 20 years of extensive strategic transaction expertise and was a senior manager with Deloitte Tax LLP before joining Middleby.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20"/>
          </w:cols>
          <w:pgMar w:left="440" w:top="266"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those persons who are expected to serve on the SpinCo Board following the completion of the spin-off, and is followed by biographies of each such individual. The Middleby Board will continue to evaluate the composition of the future SpinCo Board in order to reflect an appropriate mix of skills, experience and attributes, and additional individuals may be added to the SpinCo Board in the future. The information set forth below is as of May 4, 2026.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gridSpan w:val="2"/>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20" w:type="dxa"/>
            <w:vAlign w:val="bottom"/>
          </w:tcPr>
          <w:p>
            <w:pPr>
              <w:spacing w:after="0"/>
              <w:rPr>
                <w:sz w:val="16"/>
                <w:szCs w:val="16"/>
                <w:color w:val="auto"/>
              </w:rPr>
            </w:pPr>
          </w:p>
        </w:tc>
        <w:tc>
          <w:tcPr>
            <w:tcW w:w="486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A. Nerbonne</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Borders>
              <w:top w:val="single" w:sz="8" w:color="CCEEFF"/>
            </w:tcBorders>
            <w:shd w:val="clear" w:color="auto" w:fill="CCEEFF"/>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Chair of the Board</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M. Salman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Carlos A. Fernandez Villena</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56</w:t>
            </w:r>
          </w:p>
        </w:tc>
        <w:tc>
          <w:tcPr>
            <w:tcW w:w="5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J. FitzGerald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T. Glerum, Jr.</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w:t>
            </w:r>
          </w:p>
        </w:tc>
        <w:tc>
          <w:tcPr>
            <w:tcW w:w="5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M. Jacoby</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Cathy L. McCarthy</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w:t>
            </w:r>
          </w:p>
        </w:tc>
        <w:tc>
          <w:tcPr>
            <w:tcW w:w="52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Janet H. Zelenka</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w:t>
            </w:r>
          </w:p>
        </w:tc>
        <w:tc>
          <w:tcPr>
            <w:tcW w:w="52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Robert A. Nerbonne </w:t>
      </w:r>
      <w:r>
        <w:rPr>
          <w:rFonts w:ascii="Times New Roman" w:cs="Times New Roman" w:eastAsia="Times New Roman" w:hAnsi="Times New Roman"/>
          <w:sz w:val="18"/>
          <w:szCs w:val="18"/>
          <w:color w:val="auto"/>
        </w:rPr>
        <w:t>has been a director of Middleby since 2019 was formerly the CEO and President of multiple commercial food service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He was an officer and board member of Cooper-Atkins Corporation, a company that manufactures thermometers, timers and wireless monitoring solutions, from 2014 to 2018. He was a consultant for Cooper-Atkins Corporation from 2012 to 2014. Earlier in his career, Mr. Nerbonne was Chief Executive Officer of Ali Group North America, a manufacturer of equipment for the food service industry, from 2009 to 2011. He was Group President, Americas of Enodis (today Welbilt), and held other senior roles at that company, from 2002 to 2009. Prior to 2002, he held various leadership positions in the commercial food service industry, including President of Pitco from 1988 to 1998, before Middleby acquired Pitco. Mr. Nerbonne earned an M.B.A. from Southern New Hampshire University and a B.S. in Business Administration from University of New Hampshire. Mr. Nerbonne’s extensive and varied leadership roles within the commercial food service industry, as well as his background in mergers and acquisitions, are expected to provide the SpinCo Board with valuable insight on how to proactively address market conditions and develop long-term strategy. Mr. Nerbonne will resign from the Middleby Board upon the completion of the spin-off.</w:t>
      </w:r>
    </w:p>
    <w:p>
      <w:pPr>
        <w:spacing w:after="0" w:line="185"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The biography of Mark M. Salman is set forth under “—Executive Officers</w:t>
      </w:r>
      <w:r>
        <w:rPr>
          <w:rFonts w:ascii="Times New Roman" w:cs="Times New Roman" w:eastAsia="Times New Roman" w:hAnsi="Times New Roman"/>
          <w:sz w:val="18"/>
          <w:szCs w:val="18"/>
          <w:color w:val="auto"/>
        </w:rPr>
        <w:t>.” Mr. Salman’s qualifications to serve as a director of SpinCo include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decades of global food processing and bakery industry leadership experience, his extensive experience leading organic and inorganic growth at the enterprise level and his deep understanding of the Food Processing business, including SpinCo’s customers, markets and external stakeholders.</w:t>
      </w:r>
    </w:p>
    <w:p>
      <w:pPr>
        <w:spacing w:after="0" w:line="17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Carlos A. Fernandez Villena </w:t>
      </w:r>
      <w:r>
        <w:rPr>
          <w:rFonts w:ascii="Times New Roman" w:cs="Times New Roman" w:eastAsia="Times New Roman" w:hAnsi="Times New Roman"/>
          <w:sz w:val="17"/>
          <w:szCs w:val="17"/>
          <w:color w:val="auto"/>
        </w:rPr>
        <w:t>served as CEO and Chairman of the Board of Villa Food Srl from January 2024 until June 2025. From 2012 until 2023, Mr.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Fernandez was employed by JBT Corporation (“JBT”), now JBT Marel Corporation, where he held various positions, including Executive Vice President and President, Diversified Food &amp; Health and Executive Vice President, Customer Sustainability &amp; Market Development, overseeing customer sustainability initiatives, end-market development and strategic partnerships across JBT’s FoodTech segment, from 2017 until 2023, and Executive Vice President and President, Liquid Foods, leading the global Liquid Foods business, from 2016 until 2017, after previously holding the roles of Vice President (2014) and General Manager within JBT FoodTech’s Fruit &amp; Juice Solutions division (2012–2014). Earlier in his career, Mr. Fernandez held a variety of finance and general management roles at FMC Corporation and FMC Technologies, beginning as a Business Analyst in Madrid in 1996. Mr. Fernandez earned a B.Sc. in Economics &amp; Business from Universidad Autónoma de Madrid and completed additional executive education in strategy, marketing and leadership. Mr. Fernandez has been an independent Board Member at OptiCept Technologies since May 2024 and is a partner at Stratumm Partners. We believe Mr. Fernandez’s experience in the food industry makes him well-qualified to serve as a director of SpinCo.</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20"/>
          </w:cols>
          <w:pgMar w:left="440" w:top="266" w:right="439" w:bottom="1440" w:gutter="0" w:footer="0" w:header="0"/>
        </w:sectPr>
      </w:pPr>
    </w:p>
    <w:bookmarkStart w:id="122" w:name="page123"/>
    <w:bookmarkEnd w:id="122"/>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Timothy J. FitzGerald </w:t>
      </w:r>
      <w:r>
        <w:rPr>
          <w:rFonts w:ascii="Times New Roman" w:cs="Times New Roman" w:eastAsia="Times New Roman" w:hAnsi="Times New Roman"/>
          <w:sz w:val="18"/>
          <w:szCs w:val="18"/>
          <w:color w:val="auto"/>
        </w:rPr>
        <w:t>has been Chief Executive Officer and a director of Middleby since February 2019. He joined Middleby in 1998, serving as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Financial Officer from 2003 to 2019. Before joining Middleby, Mr. FitzGerald was a manager with Arthur Anderson LLP for seven years in the consulting and audit practices. Mr. FitzGerald has broad-based experience in manufacturing, distribution, mergers and acquisitions and global operations. Mr. FitzGerald led the development of Middleby’s Food Processing Group since its inception in 2005, making him uniquely qualified to serve as a director of SpinCo. Mr. FitzGerald also has significant expertise in the food processing industry, along with insights specifically with respect to the SpinCo business. Mr. FitzGerald earned his CPA in 1991 and his MBA in 2004 from the University of Chicago Booth School of Business majoring in Finance and International Business.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James T. Glerum, Jr. </w:t>
      </w:r>
      <w:r>
        <w:rPr>
          <w:rFonts w:ascii="Times New Roman" w:cs="Times New Roman" w:eastAsia="Times New Roman" w:hAnsi="Times New Roman"/>
          <w:sz w:val="18"/>
          <w:szCs w:val="18"/>
          <w:color w:val="auto"/>
        </w:rPr>
        <w:t>retired as Vice Chairman, Investment Banking at Citigroup in July 2024. Prior to joining Citigroup in 2011, Mr. Glerum held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positions in investment banking at UBS and Credit Suisse in Chicago and New York City. Over his 40-year investment banking career, Mr. Glerum executed corporate finance and strategic transactions with an aggregate value of over $500 billion. Mr. Glerum’s clients spanned multiple industry sectors, including manufacturing, healthcare, consumer and retail. Mr. Glerum serves on the Board of Directors of Amcor plc (NYSE: AMCR), a global leader in consumer and health care packaging, and Tennant Company (NYSE: TNC), a manufacturer of specialized industrial equipment. Further, Mr. Glerum serves on the Board of Trustees of Denison University and The Ravinia Festival. Mr. Glerum earned an M.B.A. from The Harvard Business School and a B.A. cum laude in Economics and Mathematics from Denison University. We believe Mr. Glerum’s long career in investment banking and recent public company board experience qualify him to serve as a director of SpinCo.</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Brian M. Jacoby </w:t>
      </w:r>
      <w:r>
        <w:rPr>
          <w:rFonts w:ascii="Times New Roman" w:cs="Times New Roman" w:eastAsia="Times New Roman" w:hAnsi="Times New Roman"/>
          <w:sz w:val="18"/>
          <w:szCs w:val="18"/>
          <w:color w:val="auto"/>
        </w:rPr>
        <w:t>is a Founding Partner and Head of Research at Garden Investments. Since 2023, Mr. Jacoby has led the firm’s investment sourcing,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directed due diligence, managed the investment team and engaged with portfolio companies. Prior to founding Garden Investments, Mr. Jacoby spent nearly two decades as a Partner and Senior Analyst at Trian Fund Management and its predecessor, where he helped oversee investments including Domino’s, DowDuPont, Hu Chocolate, InterContinental Hotels Group, PPG, Tiffany and Wendy’s. During his tenure, the firm scaled assets under management to over $13 billion. Mr. Jacoby began his career in investment banking at Salomon Smith Barney, rebranded as Citigroup. He received a B.B.A. with high distinction in Finance and Accounting from the University of Michigan. Mr. Jacoby previously served on the boards of Arby’s, Inspire Brands and Meridian Audio. He also brings hands-on operating experience as a former Wendy’s franchisee in Fairfield County, Connecticut.</w:t>
      </w:r>
    </w:p>
    <w:p>
      <w:pPr>
        <w:spacing w:after="0" w:line="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Mr. Jacoby’s investment and capital allocation skills, operating perspective and deep sector expertise in consumer and industrials qualify him to serve as a director of SpinCo.</w:t>
      </w:r>
    </w:p>
    <w:p>
      <w:pPr>
        <w:spacing w:after="0" w:line="1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Cathy L. McCarthy </w:t>
      </w:r>
      <w:r>
        <w:rPr>
          <w:rFonts w:ascii="Times New Roman" w:cs="Times New Roman" w:eastAsia="Times New Roman" w:hAnsi="Times New Roman"/>
          <w:sz w:val="18"/>
          <w:szCs w:val="18"/>
          <w:color w:val="auto"/>
        </w:rPr>
        <w:t>has been a director of Middleby since 2015, and since 2011, has served as President and Chief Executive Officer of Cross Tack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Inc., a management consulting firm. From 2007 to 2011, Ms. McCarthy served as President and Chief Executive Officer of SM&amp;A, a public company that provides business strategy, competition management and project management consulting services. Before becoming President and Chief Executive Officer, Ms. McCarthy served in various senior executive positions at SM&amp;A, including Executive Vice President, Chief Financial Officer and Corporate Secretary from 2005 to mid-2007. Prior to her time at SM&amp;A, Ms. McCarthy was Chief Financial Officer of PIA Merchandising, an in-store merchandising company; Giant Group, Ltd., an investment firm; and Wherehouse Entertainment, a major music and video retailer. Ms. McCarthy began her career at Mellon Bank, N.A., where she was Vice President of several lending departments responsible for the oversight of highly leveraged and distressed assets and commercial lending. Ms. McCarthy’s operating experience as a Chief Executive Officer and a Chief Financial Officer of numerous public and private companies, combined with her extensive background in strategy, mergers and acquisitions, financial reporting and internal controls, is expected to provide the SpinCo Board with valuable strategy and financial oversight capabilities. Ms. McCarthy will resign from the Middleby Board upon the completion of the spin-off.</w:t>
      </w:r>
    </w:p>
    <w:p>
      <w:pPr>
        <w:spacing w:after="0" w:line="192"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Janet H. Zelenka </w:t>
      </w:r>
      <w:r>
        <w:rPr>
          <w:rFonts w:ascii="Times New Roman" w:cs="Times New Roman" w:eastAsia="Times New Roman" w:hAnsi="Times New Roman"/>
          <w:sz w:val="18"/>
          <w:szCs w:val="18"/>
          <w:color w:val="auto"/>
        </w:rPr>
        <w:t>joined the board of directors of FTI Consulting, Inc. (NYSE: FCN) in March 2025 and serves as a member of the Audit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Nominating, Corporate Governance and Social Responsibility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68" w:right="459" w:bottom="1440" w:gutter="0" w:footer="0" w:header="0"/>
        </w:sectPr>
      </w:pPr>
    </w:p>
    <w:bookmarkStart w:id="123" w:name="page124"/>
    <w:bookmarkEnd w:id="12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at FTI. Ms. Zelenka also currently serves on the boards of IDEAL Industries, a global manufacturer of power management devices, interconnect solutions and electrician tools and supplies, and U.S. Venture, a distributor of energy, tires, lubricants and transportation products, and is the Audit Committee Chair and a member of the Compensation Committee on both boards. Ms. Zelenka is the former Executive Vice President, Chief Financial Officer and Chief Information Officer of Stericycle, Inc., a medical waste disposal company, which she joined in 2019 and retired from in 2024 following its acquisition. Prior to Stericycle, Ms. Zelenka served as a leader for 15 years with Essendant Inc. (formerly known as United Stationers), culminating in serving as Chief Financial Officer. While at Essendant, she also served in the roles of Chief Information Officer and Senior Vice President of Business Integration. Earlier at Essendant, she served in Vice President roles in finance, pricing and internal audit. Earlier, Ms. Zelenka worked at SBC Ameritech (now AT&amp;T), serving in a range of IT, financial and operational roles, including Chief Financial Officer of the IT division and Vice President of IT. Ms. Zelenka received an M.B.A. from Northern Illinois University and a B.A. in Economics from Rockford University. Ms. Zelenka brings to the SpinCo Board her experience as a chief financial officer and chief information officer and knowledge of corporate finance, accounting, internal controls, mergers and acquisitions, IT, cybersecurity and artificial intelligence. In addition, Ms. Zelenka possesses experience serving on the audit and other committees of various public and private company boards. We believe that each of these experiences qualifies Ms. Zelenka to serve as a director of SpinCo.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Following the Spin-Off and Corporate Governance Guidelines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Upon completion of the spin-off, we expect that the SpinCo Board will be comprised of eight directors. After completion of the spin-off, the SpinCo Board is expected to consist of such number of directors as shall be determined from time to time solely by resolution of a majority of the SpinCo Board. Each director will be elected annually by the stockholders at each annual meeting of stockholders for a term expiring at the next annual meeting of stockholders. We have not yet set the date of the first annual meeting of stockholders to be held following the spin-off.</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Prior to the completion of the spin-off, the SpinCo Board will adopt corporate governance guidelines (the “Corporate Governance Guidelines”) which, in conjunction with our amended and restated certificate of incorporation, amended and restated bylaws and the charters of the SpinCo Board’s committees, constitute the framework of our corporate governance. A copy of the Corporate Governance Guidelines will be available at our website at www.midera.com.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majority of SpinCo’s directors must be “independent” as such term is defined under Nasdaq listing standards. The SpinCo Board will review annually the relationships that each director has with SpinCo (either directly or as a partner, stockholder or officer of an organization that has a relationship with SpinCo). The SpinCo Board expects that all directors except Mr. Salman and Mr. FitzGerald will meet the independence requirements set forth in the listing standards of Nasdaq at the time of the spin-off.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Effective upon the completion of the spin-off, the SpinCo Board is expected to have three standing committees: an Audit Committee, a Compensation Committee and a Nominating and Corporate Governance Committee. The principal functions of each committee are briefly described below. We intend to comply with the listing requirements and other rules and regulations of Nasdaq, as amended or modified from time to time, with respect to each of these committees, and each of these committees will be comprised exclusively of independent directors. Additionally, the SpinCo Board may, from time to time, establish other committees to facilitate its oversight of management of the business and affairs of SpinCo.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 Committee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Audit Committee of the SpinCo Board (the “Audit Committee”) is appointed by the SpinCo Board for the primary purposes of: (i) fulfilling the SpinCo Board’s oversight responsibilities as they relate to SpinCo’s accounting and internal controls policies and practices, financial reporting practices, risk management and legal and regulatory compliance; and (ii) maintaining, through regularly scheduled meetings, a line of communication between the SpinCo Board, SpinCo’s financial management team, SpinCo’s internal audit function and SpinCo’s external auditor. Among other things, the Audit Committee will be responsible for:</w:t>
      </w:r>
    </w:p>
    <w:p>
      <w:pPr>
        <w:spacing w:after="0" w:line="89" w:lineRule="exact"/>
        <w:rPr>
          <w:sz w:val="20"/>
          <w:szCs w:val="20"/>
          <w:color w:val="auto"/>
        </w:rPr>
      </w:pPr>
    </w:p>
    <w:p>
      <w:pPr>
        <w:ind w:left="960" w:hanging="424"/>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SpinCo’s external auditor and overseeing the external audit process;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plan, including the timing and scope of audit activities, and pre-approving permitted non-audit services;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SpinCo’s quarterly and annual financial statements;</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regular basis, the adequacy and effectiveness of SpinCo’s accounting and internal control policies and practices and any significant findings and recommendations of the external auditor with respect thereto;</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proposed transaction between SpinCo and any related party (other than transactions that are subject to review by the SpinCo Board as a whole or any other independent committee of the SpinCo Board) in accordance with SpinCo’s then-current policies; and</w:t>
      </w:r>
    </w:p>
    <w:p>
      <w:pPr>
        <w:spacing w:after="0" w:line="81" w:lineRule="exact"/>
        <w:rPr>
          <w:rFonts w:ascii="Times New Roman" w:cs="Times New Roman" w:eastAsia="Times New Roman" w:hAnsi="Times New Roman"/>
          <w:sz w:val="18"/>
          <w:szCs w:val="18"/>
          <w:color w:val="auto"/>
        </w:rPr>
      </w:pPr>
    </w:p>
    <w:p>
      <w:pPr>
        <w:jc w:val="both"/>
        <w:ind w:left="960" w:right="320" w:hanging="424"/>
        <w:spacing w:after="0" w:line="266" w:lineRule="auto"/>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enterprise risk management processes including with respect to financial reporting, disclosure requirements, internal control over financial reporting, tax, credit and liquidity matters, operations, data security, cybersecurity, artificial intelligence, regulatory matters and compliance programs.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primary purposes of the Compensation Committee of the SpinCo Board (the “Compensation Committee”) will be to: (i) oversee SpinCo’s compensation and employee benefit plans and practices, including its executive and director compensation plans and its incentive-compensation and equity-based plans; (ii) review and discuss with management SpinCo’s compensation-related disclosure to be included in SpinCo’s annual proxy statement or annual report on Form 10-K; and (iii) prepare the report of the Compensation Committee (to the extent required by the rules of the SEC). Among other things, the Compensation Committee will be responsible for:</w:t>
      </w:r>
    </w:p>
    <w:p>
      <w:pPr>
        <w:spacing w:after="0" w:line="89" w:lineRule="exact"/>
        <w:rPr>
          <w:sz w:val="20"/>
          <w:szCs w:val="20"/>
          <w:color w:val="auto"/>
        </w:rPr>
      </w:pPr>
    </w:p>
    <w:p>
      <w:pPr>
        <w:ind w:left="960" w:hanging="424"/>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the non-employee members of the SpinCo Board and all executive officers;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incentive and equity-based compensation plans.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primary purposes of the Nominating and Corporate Governance Committee of the SpinCo Board (the “Nominating and Corporate Governance Committee”) will be to: (i) identify and recommend to the SpinCo Board individuals qualified to serve as directors of SpinCo; (ii) develop and recommend to the SpinCo Board a set of corporate governance principles applicable to SpinCo; and (iii) oversee the evaluation of the SpinCo Board. Among other things, the Nominating and Corporate Governance Committee will be responsible for:</w:t>
      </w:r>
    </w:p>
    <w:p>
      <w:pPr>
        <w:spacing w:after="0" w:line="85" w:lineRule="exact"/>
        <w:rPr>
          <w:sz w:val="20"/>
          <w:szCs w:val="20"/>
          <w:color w:val="auto"/>
        </w:rPr>
      </w:pPr>
    </w:p>
    <w:p>
      <w:pPr>
        <w:ind w:left="960" w:right="20" w:hanging="424"/>
        <w:spacing w:after="0" w:line="282"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reviewing, evaluating and maintaining a slate of potential director nominees, and recommending potential director nominees to the SpinCo Board;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annual SpinCo Board and committee evaluation and skillset assessment process;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SpinCo’s corporate governance guidelines and recommending any desirable changes to the SpinCo Board;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80"/>
          </w:cols>
          <w:pgMar w:left="440" w:top="266" w:right="479" w:bottom="1440" w:gutter="0" w:footer="0" w:header="0"/>
        </w:sectPr>
      </w:pPr>
    </w:p>
    <w:bookmarkStart w:id="125" w:name="page126"/>
    <w:bookmarkEnd w:id="125"/>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overseeing SpinCo’s program to monitor compliance with the SpinCo code of conduct;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SpinCo’s executive officers;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sustainability policies and initiatives;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SpinCo Board’s composition and size.</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SpinCo Board will oversee management’s performance to help ensure that SpinCo operates in an effective, efficient and ethical manner in order to produce value for its stockholders. To achieve this goal, the SpinCo Board will monitor both the performance of SpinCo (in relation to goals, strategy and competitors) and the performance of the Chief Executive Officer, and offer constructive advice and feedback.</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Corporate Governance Guidelines will require the offices of the Chairman of the SpinCo Board and the Chief Executive Officer to be separate. We believe having an independent director serve as Chairman of the SpinCo Board best serves SpinCo and its stockholders, as we believe this leadership structure provides a broader depth of experience that informs strategy, strengthens the SpinCo Board’s integrity and independence and reduces potential conflicts in the areas of performance evaluation, executive compensation, succession planning and the recruitment of new directors.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Role of the SpinCo Board in Risk Oversight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SpinCo Board will have responsibility for oversight of risk management. The SpinCo Board and its committees will regularly review information regarding SpinCo’s credit, liquidity and operations and other reports that are designed to inform the SpinCo Board and its committees about how we identify, assess and manage critical risks and our risk mitigation strategies.</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Audit Committee will oversee management’s enterprise risk management processes, including with respect to financial reporting, disclosure requirements, internal control over financial reporting, tax, credit and liquidity matters, operations, data security, cybersecurity, artificial intelligence, regulatory matters and compliance programs.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Compensation Committee will be responsible for overseeing the management of risks relating to our executive compensation plans, SpinCo Board compensation and executive incentive plan design.</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be responsible for evaluating risk associated with management succession planning, overseeing our sustainability reporting and evaluating SpinCo’s environmental, social and governance policies and initiatives.</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will advise the SpinCo Board about material risks as part of its broader responsibility to keep the SpinCo Board well informed on all matters of significance to SpinCo. The SpinCo Board believes its planned leadership structure will facilitate a clear delineation of responsibility with respect to risk management. Additionally, maintaining an independent board with an independent Chairman of the SpinCo Board promotes open discussion and assessment of SpinCo’s ability to manage risk.</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Selection of Nominees for Directors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periodically review the overall composition of the SpinCo Board and recommend, if necessary, measures to help ensure the SpinCo Board reflects an appropriate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20"/>
          </w:cols>
          <w:pgMar w:left="440" w:top="270" w:right="539" w:bottom="1440" w:gutter="0" w:footer="0" w:header="0"/>
        </w:sectPr>
      </w:pPr>
    </w:p>
    <w:bookmarkStart w:id="126" w:name="page127"/>
    <w:bookmarkEnd w:id="126"/>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balance of knowledge, experience, skills and expertise. The Nominating and Corporate Governance Committee will periodically evaluate SpinCo Board succession, including succession planning for the SpinCo Board leadership positions. The Nominating and Corporate Governance Committee will use the annual SpinCo Board evaluation and skillset assessment to understand the SpinCo Board’s existing strengths and identify opportunities to improve the SpinCo Board’s overall composition. The Nominating and Corporate Governance Committee will leverage the expertise of third party search firms when appropriate in connection with this process. The Nominating and Corporate Governance Committee will consider this information when selecting qualified SpinCo Board candidates for succession planning purposes.</w:t>
      </w:r>
    </w:p>
    <w:p>
      <w:pPr>
        <w:spacing w:after="0" w:line="18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Nominating and Corporate Governance Committee will recommend potential new director nominees to the full SpinCo Board for approval. The Nominating and Corporate Governance Committee and the SpinCo Board may apply several criteria in identifying and selecting nominees, including the nominees’ professional experience, experience with business segments relevant to SpinCo, reputation, skillset and other attributes, as well as how each potential nominee’s skillset complements talents already represented on the SpinCo Board. Given the global and complex nature of SpinCo’s business, the SpinCo Board also believes it is important to consider a range of educational and professional experiences when evaluating the pool of candidates.</w:t>
      </w:r>
    </w:p>
    <w:p>
      <w:pPr>
        <w:spacing w:after="0" w:line="16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policy will be to consider any candidate recommended by SpinCo stockholders by evaluating the needs of the SpinCo Board and the qualifications of the candidate. The Nominating and Corporate Governance Committee may establish a formal procedure regarding submission of candidates by SpinCo stockholders in the future.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Prior to the completion of the spin-off, the SpinCo Board will adopt a code of conduct (the “Code of Conduct”) that applies to all directors, officers and employees. A copy of the Code of Conduct will be available at our website at www.midera.com. We will post any amendment to, or waiver from, the Code of Conduct, on our website.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SpinCo’s fiscal year ended January 3, 2026, SpinCo was not yet incorporated for the full fiscal year, was not an independent company and did not have a compensation committee or any other committee serving a similar function. Decisions as to the compensation of those who will serve as SpinCo executive officers were made by Middleby, as described in the section of this information statement entitled “Executive Compensation.”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70" w:right="45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COMPENSATION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While the anticipated SpinCo executive compensation programs and policies have been discussed with the Middleby Board, those programs and policies remain subject to review and approval by SpinCo’s own Compensation Committee. SpinCo is currently a part of Middleby, and its Compensation Committee has not yet been formed.</w:t>
      </w:r>
    </w:p>
    <w:p>
      <w:pPr>
        <w:spacing w:after="0" w:line="17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For purposes of this Executive Compensation discussion and the disclosure that follows, Mr. Salman, who currently serves as the President of the Middleby Food Processing Group and is expected to serve as our Chief Executive Officer following the spin-off, and Mr. Fuchsen, who currently serves as the Chief Development Officer of Middleby and is expected to serve as our Chief Strategy Officer following the spin-off, are the only individuals expected to serve as executive officers of SpinCo who would have been considered executives of Middleby or the Middleby Food Processing Group in 2025. We refer to these individuals as our “named executive officers” or “NEOs” only for purposes of the Executive Compensation discussion and the disclosure that follows. The Executive Compensation discussion describes Middleby’s historical compensation programs as applied to Mr. Salman and Mr. Fuchsen, and outlines certain aspects of our anticipated post-distribution compensation structure for those individuals.</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Ms. Campbell, who is expected to serve as our Chief Financial Officer following the spin-off, and Mr. Bowie, who is expected to serve as our Chief Operating Officer following the spin-off, were not employed by Middleby in 2025.</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After the spin-off, we will review the compensation for all of our executive officers and determine the appropriate compensation, benefits and perquisites for them, and accordingly the compensation, benefits and perquisites provided to them after the spin-off will not necessarily be the same as those discussed below.</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Objectives and Philosophy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Middleby Practice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Middleby’s compensation and benefits programs are influenced by Middleby’s business culture and are designed to maximize strategic Middleby goals.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objectives of Middleby’s compensation program are described below.</w:t>
      </w:r>
    </w:p>
    <w:p>
      <w:pPr>
        <w:spacing w:after="0" w:line="108" w:lineRule="exact"/>
        <w:rPr>
          <w:sz w:val="20"/>
          <w:szCs w:val="20"/>
          <w:color w:val="auto"/>
        </w:rPr>
      </w:pPr>
    </w:p>
    <w:p>
      <w:pPr>
        <w:ind w:left="960" w:right="240" w:hanging="424"/>
        <w:spacing w:after="0" w:line="286"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Attract and Retain Executive Talent</w:t>
      </w:r>
      <w:r>
        <w:rPr>
          <w:rFonts w:ascii="Times New Roman" w:cs="Times New Roman" w:eastAsia="Times New Roman" w:hAnsi="Times New Roman"/>
          <w:sz w:val="18"/>
          <w:szCs w:val="18"/>
          <w:color w:val="auto"/>
        </w:rPr>
        <w:t>—Middleby offers compensation packages that aim to attract and retain qualified executive talent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 increasing rewards for extraordinary performance.</w:t>
      </w:r>
    </w:p>
    <w:p>
      <w:pPr>
        <w:spacing w:after="0" w:line="6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Link Executive Compensation with Financial and Operating Performance</w:t>
      </w:r>
      <w:r>
        <w:rPr>
          <w:rFonts w:ascii="Times New Roman" w:cs="Times New Roman" w:eastAsia="Times New Roman" w:hAnsi="Times New Roman"/>
          <w:sz w:val="17"/>
          <w:szCs w:val="17"/>
          <w:color w:val="auto"/>
        </w:rPr>
        <w:t>—The Middleby Compensation Committee structures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portion of the compensation for Middleby’s named executive officers and senior management to vary based on Middleby’s financial and operating performance in order to drive a sustained increase in stockholder value. In a typical year, a significant portion of an executive’s annual compensation is at risk and linked to the achievement of corporate goals that are tailored to Middleby’s strategic plan.</w:t>
      </w:r>
    </w:p>
    <w:p>
      <w:pPr>
        <w:spacing w:after="0" w:line="66" w:lineRule="exact"/>
        <w:rPr>
          <w:rFonts w:ascii="Times New Roman" w:cs="Times New Roman" w:eastAsia="Times New Roman" w:hAnsi="Times New Roman"/>
          <w:sz w:val="17"/>
          <w:szCs w:val="17"/>
          <w:color w:val="auto"/>
        </w:rPr>
      </w:pPr>
    </w:p>
    <w:p>
      <w:pPr>
        <w:ind w:left="960" w:right="40" w:hanging="424"/>
        <w:spacing w:after="0" w:line="255" w:lineRule="auto"/>
        <w:tabs>
          <w:tab w:leader="none" w:pos="9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Link Executive Equity Incentive Compensation with Stockholder Interests</w:t>
      </w:r>
      <w:r>
        <w:rPr>
          <w:rFonts w:ascii="Times New Roman" w:cs="Times New Roman" w:eastAsia="Times New Roman" w:hAnsi="Times New Roman"/>
          <w:sz w:val="18"/>
          <w:szCs w:val="18"/>
          <w:color w:val="auto"/>
        </w:rPr>
        <w:t>—Long-term equity incentive compensation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Middleby’s named executive officers in fiscal year 2025 was divided between performance-based (67%) and time-based restricted stock units (33%) (assuming target performance levels for the PSUs) to (i) align Middleby’s named executive officers’ interests with stockholder interests through the shared experience of stock ownership; (ii) tie performance goals and payouts directly to metrics that are critical drivers of financial and operational success, stockholder value creation and strategic objectives; (iii) enhance the alignment between Middleby performance and executive pay by weighing the performance-based portion of Long-Term Incentive (“LTI”) more heavily than time-based vesting and (iv) include a time-based component that encourages executive retention and discourages excess risk-taking by executives.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66" w:right="459" w:bottom="1440" w:gutter="0" w:footer="0" w:header="0"/>
        </w:sectPr>
      </w:pPr>
    </w:p>
    <w:bookmarkStart w:id="128" w:name="page129"/>
    <w:bookmarkEnd w:id="128"/>
    <w:p>
      <w:pPr>
        <w:ind w:left="960" w:hanging="424"/>
        <w:spacing w:after="0" w:line="262" w:lineRule="auto"/>
        <w:tabs>
          <w:tab w:leader="none" w:pos="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Facilitate a High-Growth Company Strategy</w:t>
      </w:r>
      <w:r>
        <w:rPr>
          <w:rFonts w:ascii="Times New Roman" w:cs="Times New Roman" w:eastAsia="Times New Roman" w:hAnsi="Times New Roman"/>
          <w:sz w:val="18"/>
          <w:szCs w:val="18"/>
          <w:color w:val="auto"/>
        </w:rPr>
        <w:t>—Middleby provides incentive compensation that rewards executives for strong growth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which is expected to generate strong stockholder return. Performance goals are generally consistent with Middleby’s performance expectations, but are tiered to help ensure that awards will increase when Middleby out-performs its performance targets. Likewise, Middleby’s incentive compensation programs are designed to result in no payouts when Middleby underperforms threshold goals.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Forward</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anticipate that our executive compensation objectives and approach will initially be similar to Middleby’s. Following the spin-off, our Compensation Committee will review these objectives and approach to ensure they meet our business needs and strategic objectives. As part of such review, our Compensation Committee may approve a new peer group of companies and will determine how to use peer group data.</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Parties Involved in Compensation Decisions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Middleby Practice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12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The Middleby Compensation Committee, consisting entirely of independent directors, is responsible for establishing, implementing and monitoring Middleby’s compensation program and providing input to the Middleby Board with respect to management development and succession planning.</w:t>
      </w:r>
    </w:p>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Middleby Compensation Committee evaluates Middleby’s named executive officers’ performance and, either as a committee or together with the other independent directors (as directed by the Middleby Board), determines and approves their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Committee’s Independent Compensation Consultant</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Middleby Compensation Committee has the power to retain independent compensation consultants, legal counsel, or other advisors as it may deem appropriate to assist it in the performance of its duties and responsibilities, without consulting or obtaining the approval of management. The Middleby Compensation Committee recognizes the importance of objective, independent expertise and advice in carrying out its responsibilities.</w:t>
      </w:r>
    </w:p>
    <w:p>
      <w:pPr>
        <w:spacing w:after="0" w:line="17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Middleby Compensation Committee retained Aon’s Human Capital Solutions practice, a division of Aon plc (“Aon”), as its independent consultant. Aon reports directly to, and is directly accountable to, the Middleby Compensation Committee, and the Middleby Compensation Committee has the sole authority to retain, terminate and obtain Aon’s advice at Middleby’s expense. The Middleby Compensation Committee selected Aon as consultants because of Aon’s public company compensation experience, understanding of compensation governance and access to market competitive data.</w:t>
      </w:r>
    </w:p>
    <w:p>
      <w:pPr>
        <w:spacing w:after="0" w:line="16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 Aon’s assistance, the Middleby Compensation Committee monitors market compensation practices and developments, as well as the appropriateness of the various components of Middleby’s executive pay program. The Middleby Compensation Committee believes that obtaining relevant market and benchmark data is very important because it provides helpful context and a solid reference point for making decisions. When making determinations about compensation for Middleby executives, the Middleby Compensation Committee also considers corporate and individual performance, any shifts in the current or anticipated future duties and function of the executive officers, the competitive market for executive talent and the overall labor market and the input of other directors who are not members of the Middleby Compensation Committee.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20"/>
          </w:cols>
          <w:pgMar w:left="440" w:top="266"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Factors in Setting Compensation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Middleby Compensation Committee uses comparative compensation information from a relevant group of peer companies as one of several points of reference when setting the compensation of Middleby’s named executive officers. The Middleby Compensation Committee considers data from the companies in the peer group to compare total compensation and individual compensation elements for Middleby’s named executive officers with compensation for officers in comparable positions, and the Middleby Compensation Committee retains discretion in determining how it will use peer group data. The Middleby Compensation Committee typically reviews peer company compensation data on an annual basis.</w:t>
      </w:r>
    </w:p>
    <w:p>
      <w:pPr>
        <w:spacing w:after="0" w:line="183"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Aon compiled compensation data at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median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levels from the peer group, for base salaries, target annual cash incentive awards, target long-term equity awards and total target direct compensation for individual executive officer positions. Using this data and considering the other factors described above under the heading “Role of the Compensation Committee’s Independent Compensation Consultant,” the Middleby Compensation Committee approved adjustments to 2025 compensation packages for our NEOs to maintain an appropriate level of total compensation in comparison to the market that is consistent with emphasizing pay for performance.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Forward</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anticipate that our executive compensation process upon the spin-off will generally follow a similar process as Middleby’s executive compensation process. Following the spin-off, our Compensation Committee will review all aspects of its process and may make adjustments that it believes are appropriate in establishing our executive compensation process.</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Compensation Elements; Fiscal Year 2025 Compensation Decisions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Middleby Practice</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Middleby’s compensation program is generally divided into three elements: base salary, annual cash incentive and long-term equity-based incentive. Middleby uses the mix of these elements to emphasize pay for performance and to recognize the different value brought by individual jobs within Middleby.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 salary is fixed and provides some stable income since the other elements of our NEOs’ compensation packages are at significant risk. Annual base salary levels and any increases are budgeted based on Middleby’s current business environment and the individual’s level of responsibility and merit within Middleby.</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fiscal year 2025, the Middleby Compensation Committee approved increases to the base salaries of certain of our NEOs in alignment with market compensation data provided by Aon. Among other factors, the Middleby Compensation Committee also recognized additional duties and responsibilities for each position, the importance of retaining key executive talent and the status of the labor market generally.</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280" w:type="dxa"/>
            <w:vAlign w:val="bottom"/>
            <w:vMerge w:val="restart"/>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 Base</w:t>
            </w:r>
          </w:p>
        </w:tc>
        <w:tc>
          <w:tcPr>
            <w:tcW w:w="5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Base</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65"/>
        </w:trPr>
        <w:tc>
          <w:tcPr>
            <w:tcW w:w="1560" w:type="dxa"/>
            <w:vAlign w:val="bottom"/>
            <w:tcBorders>
              <w:bottom w:val="single" w:sz="8" w:color="auto"/>
            </w:tcBorders>
            <w:vMerge w:val="continue"/>
          </w:tcPr>
          <w:p>
            <w:pPr>
              <w:spacing w:after="0"/>
              <w:rPr>
                <w:sz w:val="13"/>
                <w:szCs w:val="13"/>
                <w:color w:val="auto"/>
              </w:rPr>
            </w:pPr>
          </w:p>
        </w:tc>
        <w:tc>
          <w:tcPr>
            <w:tcW w:w="32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jc w:val="right"/>
              <w:ind w:right="82"/>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560" w:type="dxa"/>
            <w:vAlign w:val="bottom"/>
          </w:tcPr>
          <w:p>
            <w:pPr>
              <w:spacing w:after="0"/>
              <w:rPr>
                <w:sz w:val="13"/>
                <w:szCs w:val="13"/>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560" w:type="dxa"/>
            <w:vAlign w:val="bottom"/>
          </w:tcPr>
          <w:p>
            <w:pPr>
              <w:spacing w:after="0"/>
              <w:rPr>
                <w:sz w:val="13"/>
                <w:szCs w:val="13"/>
                <w:color w:val="auto"/>
              </w:rPr>
            </w:pPr>
          </w:p>
        </w:tc>
        <w:tc>
          <w:tcPr>
            <w:tcW w:w="9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48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M. Salman (President, Food Processing Group)</w:t>
            </w:r>
          </w:p>
        </w:tc>
        <w:tc>
          <w:tcPr>
            <w:tcW w:w="10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$400,000</w:t>
            </w:r>
          </w:p>
        </w:tc>
        <w:tc>
          <w:tcPr>
            <w:tcW w:w="5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$400,000</w:t>
            </w:r>
          </w:p>
        </w:tc>
        <w:tc>
          <w:tcPr>
            <w:tcW w:w="5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R. Fuchsen (Chief Development Officer)</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26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$432,600</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Incentive Program</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Middleby provides annual performance-based cash incentives pursuant to the Value Creation Incentive Plan (“VCIP”). Under the VCIP, the Middleby Compensation Committee can establish performance goals utilizing</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20"/>
          </w:cols>
          <w:pgMar w:left="440" w:top="266" w:right="539" w:bottom="1440" w:gutter="0" w:footer="0" w:header="0"/>
        </w:sectPr>
      </w:pPr>
    </w:p>
    <w:bookmarkStart w:id="130" w:name="page131"/>
    <w:bookmarkEnd w:id="130"/>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multiple metrics, with the flexibility to adjust metrics and goals to address changing business needs. The VCIP is intended to provide an incentive for strong performance and to motivate eligible employees toward the highest level of achievement and business results by tying their goals and interests to those of Middleby and its stockholders.</w:t>
      </w:r>
    </w:p>
    <w:p>
      <w:pPr>
        <w:spacing w:after="0" w:line="176" w:lineRule="exact"/>
        <w:rPr>
          <w:sz w:val="20"/>
          <w:szCs w:val="20"/>
          <w:color w:val="auto"/>
        </w:rPr>
      </w:pPr>
    </w:p>
    <w:p>
      <w:pPr>
        <w:ind w:left="4" w:right="260"/>
        <w:spacing w:after="0" w:line="255" w:lineRule="auto"/>
        <w:rPr>
          <w:sz w:val="20"/>
          <w:szCs w:val="20"/>
          <w:color w:val="auto"/>
        </w:rPr>
      </w:pPr>
      <w:r>
        <w:rPr>
          <w:rFonts w:ascii="Times New Roman" w:cs="Times New Roman" w:eastAsia="Times New Roman" w:hAnsi="Times New Roman"/>
          <w:sz w:val="18"/>
          <w:szCs w:val="18"/>
          <w:color w:val="auto"/>
        </w:rPr>
        <w:t>In fiscal year 2025, the Middleby Compensation Committee approved and implemented an annual cash-based incentive compensation program under the VCIP for Middleby’s named executive officers. The annual incentive compensation program for 2025 includes bonus opportunities based upon performance against goals for Middleby’s organic adjusted EBITDA$ (“EBITDA$”) and Middleby’s organic adjusted EBITDA% (“EBITDA%”) for fiscal year 2025. These metrics, which emphasize different aspects of Middleby’s performance than the metrics used for the long-term incentive plan, were implemented in part due to prior stockholder outreach, are consistent with leading governance practices and serve as an effective reference for senior managers when making decisions for their respective operations. The Middleby Compensation Committee retains discretion regarding the determination of achievement of the performance metrics.</w:t>
      </w:r>
    </w:p>
    <w:p>
      <w:pPr>
        <w:spacing w:after="0" w:line="189"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The following table shows 2025 target Middleby EBITDA$ and EBITDA% goals and the corresponding annual performance-based cash compensation for each of our NEOs under the VCIP. The target bonus opportunity for each of our NEOs under the VCIP for fiscal year 2025 was set at 100% of base salary and a maximum of 200% of base salary, as set forth below:</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2025 Annual Performance-Based Cash Incentive Plan Performance</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Relative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8"/>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300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00" w:type="dxa"/>
            <w:vAlign w:val="bottom"/>
          </w:tcPr>
          <w:p>
            <w:pPr>
              <w:spacing w:after="0"/>
              <w:rPr>
                <w:sz w:val="12"/>
                <w:szCs w:val="12"/>
                <w:color w:val="auto"/>
              </w:rPr>
            </w:pP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4"/>
              </w:rPr>
              <w:t>Target+</w:t>
            </w:r>
          </w:p>
        </w:tc>
        <w:tc>
          <w:tcPr>
            <w:tcW w:w="20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Based Cash</w:t>
            </w:r>
          </w:p>
        </w:tc>
        <w:tc>
          <w:tcPr>
            <w:tcW w:w="0" w:type="dxa"/>
            <w:vAlign w:val="bottom"/>
          </w:tcPr>
          <w:p>
            <w:pPr>
              <w:spacing w:after="0"/>
              <w:rPr>
                <w:sz w:val="1"/>
                <w:szCs w:val="1"/>
                <w:color w:val="auto"/>
              </w:rPr>
            </w:pPr>
          </w:p>
        </w:tc>
      </w:tr>
      <w:tr>
        <w:trPr>
          <w:trHeight w:val="165"/>
        </w:trPr>
        <w:tc>
          <w:tcPr>
            <w:tcW w:w="1260" w:type="dxa"/>
            <w:vAlign w:val="bottom"/>
            <w:tcBorders>
              <w:bottom w:val="single" w:sz="8" w:color="auto"/>
            </w:tcBorders>
            <w:vMerge w:val="continue"/>
          </w:tcPr>
          <w:p>
            <w:pPr>
              <w:spacing w:after="0"/>
              <w:rPr>
                <w:sz w:val="13"/>
                <w:szCs w:val="13"/>
                <w:color w:val="auto"/>
              </w:rPr>
            </w:pPr>
          </w:p>
        </w:tc>
        <w:tc>
          <w:tcPr>
            <w:tcW w:w="3000" w:type="dxa"/>
            <w:vAlign w:val="bottom"/>
            <w:vMerge w:val="continue"/>
          </w:tcPr>
          <w:p>
            <w:pPr>
              <w:spacing w:after="0"/>
              <w:rPr>
                <w:sz w:val="13"/>
                <w:szCs w:val="13"/>
                <w:color w:val="auto"/>
              </w:rPr>
            </w:pPr>
          </w:p>
        </w:tc>
        <w:tc>
          <w:tcPr>
            <w:tcW w:w="98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Weighting</w:t>
            </w:r>
          </w:p>
        </w:tc>
        <w:tc>
          <w:tcPr>
            <w:tcW w:w="20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0"/>
        </w:trPr>
        <w:tc>
          <w:tcPr>
            <w:tcW w:w="4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 (in millions) (1)(2)</w:t>
            </w: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60" w:type="dxa"/>
            <w:vAlign w:val="bottom"/>
            <w:gridSpan w:val="2"/>
            <w:vMerge w:val="continue"/>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54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900</w:t>
            </w:r>
          </w:p>
        </w:tc>
        <w:tc>
          <w:tcPr>
            <w:tcW w:w="3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920</w:t>
            </w:r>
          </w:p>
        </w:tc>
        <w:tc>
          <w:tcPr>
            <w:tcW w:w="34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54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Base Salary</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33%</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65%</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130%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3"/>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 (1)(2)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22.05%</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22.30%</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22.55%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22.80%</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Percentage of Base Salary</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18%</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70%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771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3" w:lineRule="exact"/>
        <w:rPr>
          <w:sz w:val="20"/>
          <w:szCs w:val="20"/>
          <w:color w:val="auto"/>
        </w:rPr>
      </w:pPr>
    </w:p>
    <w:p>
      <w:pPr>
        <w:ind w:left="424" w:right="100" w:hanging="424"/>
        <w:spacing w:after="0" w:line="261"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applicable, Middleby’s EBITDA$ and EBITDA% Annual Performance-Based Cash Compensation is calculated based upon the percentage of base salary at the adjusted result, calculated on a linear basis between the performance targets.</w:t>
      </w:r>
    </w:p>
    <w:p>
      <w:pPr>
        <w:ind w:left="424" w:right="280" w:hanging="424"/>
        <w:spacing w:after="0" w:line="250"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EBITDA% are not prepared in accordance with GAAP. Middleby defines EBITDA$ as operating income less depreciation, intangible amortization, restructuring, acquisition related adjustments, impairments, stock compensation and other non-recurring items which Middleby’s management considers to be outside core operating results. Middleby believes that this measure generally illustrates the underlying performance of its business. EBITDA% is calculated as EBITDA$ divided by GAAP revenue.</w:t>
      </w:r>
    </w:p>
    <w:p>
      <w:pPr>
        <w:spacing w:after="0" w:line="1" w:lineRule="exact"/>
        <w:rPr>
          <w:rFonts w:ascii="Times New Roman" w:cs="Times New Roman" w:eastAsia="Times New Roman" w:hAnsi="Times New Roman"/>
          <w:sz w:val="18"/>
          <w:szCs w:val="18"/>
          <w:color w:val="auto"/>
        </w:rPr>
      </w:pPr>
    </w:p>
    <w:p>
      <w:pPr>
        <w:ind w:left="424" w:right="220" w:hanging="424"/>
        <w:spacing w:after="0" w:line="260"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2025, Middleby’s Adjusted EBITDA$ and EBITDA% thresholds for annual performance- based cash compensation were not met, and as a result there was no annual performance-based cash compensation paid in fiscal year 2025.</w:t>
      </w:r>
    </w:p>
    <w:p>
      <w:pPr>
        <w:spacing w:after="0" w:line="200" w:lineRule="exact"/>
        <w:rPr>
          <w:sz w:val="20"/>
          <w:szCs w:val="20"/>
          <w:color w:val="auto"/>
        </w:rPr>
      </w:pPr>
    </w:p>
    <w:p>
      <w:pPr>
        <w:spacing w:after="0" w:line="232"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920" w:type="dxa"/>
            <w:vAlign w:val="bottom"/>
            <w:vMerge w:val="restart"/>
          </w:tcPr>
          <w:p>
            <w:pPr>
              <w:spacing w:after="0"/>
              <w:rPr>
                <w:sz w:val="13"/>
                <w:szCs w:val="13"/>
                <w:color w:val="auto"/>
              </w:rPr>
            </w:pPr>
          </w:p>
        </w:tc>
        <w:tc>
          <w:tcPr>
            <w:tcW w:w="37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Annual Performance-Based Cash</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 for 2025</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Mark M. Salman (President, Food Processing Group)</w:t>
            </w:r>
          </w:p>
        </w:tc>
        <w:tc>
          <w:tcPr>
            <w:tcW w:w="1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R. Fuchsen (Chief Development Officer)</w:t>
            </w:r>
          </w:p>
        </w:tc>
        <w:tc>
          <w:tcPr>
            <w:tcW w:w="18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For 2025, the annual performance-based cash compensation earned by our NEOs at 0% of target demonstrates the alignment of Middleby’s annual incentive compensation with Middleby’s short-term performance and the interests of Middleby’s shareholders.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24"/>
          </w:cols>
          <w:pgMar w:left="436" w:top="270" w:right="439" w:bottom="1440" w:gutter="0" w:footer="0" w:header="0"/>
        </w:sectPr>
      </w:pPr>
    </w:p>
    <w:bookmarkStart w:id="131" w:name="page132"/>
    <w:bookmarkEnd w:id="131"/>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Equity-Based Incentive Compensation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LTI award granted to our NEOs in fiscal year 2025 contained all of the features of the current LTI program described above and summarized below.</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Component</w:t>
            </w:r>
          </w:p>
        </w:tc>
        <w:tc>
          <w:tcPr>
            <w:tcW w:w="2820" w:type="dxa"/>
            <w:vAlign w:val="bottom"/>
          </w:tcPr>
          <w:p>
            <w:pPr>
              <w:spacing w:after="0"/>
              <w:rPr>
                <w:sz w:val="15"/>
                <w:szCs w:val="15"/>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Current LTI Practices</w:t>
            </w:r>
          </w:p>
        </w:tc>
        <w:tc>
          <w:tcPr>
            <w:tcW w:w="6120" w:type="dxa"/>
            <w:vAlign w:val="bottom"/>
          </w:tcPr>
          <w:p>
            <w:pPr>
              <w:spacing w:after="0"/>
              <w:rPr>
                <w:sz w:val="15"/>
                <w:szCs w:val="15"/>
                <w:color w:val="auto"/>
              </w:rPr>
            </w:pPr>
          </w:p>
        </w:tc>
      </w:tr>
      <w:tr>
        <w:trPr>
          <w:trHeight w:val="191"/>
        </w:trPr>
        <w:tc>
          <w:tcPr>
            <w:tcW w:w="35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Award Type</w:t>
            </w:r>
          </w:p>
        </w:tc>
        <w:tc>
          <w:tcPr>
            <w:tcW w:w="1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6"/>
              </w:rPr>
              <w:t>Performance-based</w:t>
            </w:r>
          </w:p>
        </w:tc>
        <w:tc>
          <w:tcPr>
            <w:tcW w:w="6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PSUs (2/3 weight)</w:t>
            </w:r>
          </w:p>
        </w:tc>
      </w:tr>
      <w:tr>
        <w:trPr>
          <w:trHeight w:val="234"/>
        </w:trPr>
        <w:tc>
          <w:tcPr>
            <w:tcW w:w="7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Time-based RSUs (1/3 weight)</w:t>
            </w:r>
          </w:p>
        </w:tc>
      </w:tr>
      <w:tr>
        <w:trPr>
          <w:trHeight w:val="32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 Timing</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LTI awards made annually</w:t>
            </w:r>
          </w:p>
        </w:tc>
      </w:tr>
      <w:tr>
        <w:trPr>
          <w:trHeight w:val="32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years</w:t>
            </w:r>
          </w:p>
        </w:tc>
      </w:tr>
      <w:tr>
        <w:trPr>
          <w:trHeight w:val="30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Performance and Vesting Period</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Time-based awards: ratable over three years, but shares must be held until the end of the three-fiscal-</w:t>
            </w:r>
          </w:p>
        </w:tc>
      </w:tr>
      <w:tr>
        <w:trPr>
          <w:trHeight w:val="216"/>
        </w:trPr>
        <w:tc>
          <w:tcPr>
            <w:tcW w:w="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period to which they relate</w:t>
            </w:r>
          </w:p>
        </w:tc>
      </w:tr>
      <w:tr>
        <w:trPr>
          <w:trHeight w:val="216"/>
        </w:trPr>
        <w:tc>
          <w:tcPr>
            <w:tcW w:w="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Performance-based awards: cliff vest to the extent earned, at the end of the three-year performance</w:t>
            </w:r>
          </w:p>
        </w:tc>
      </w:tr>
      <w:tr>
        <w:trPr>
          <w:trHeight w:val="234"/>
        </w:trPr>
        <w:tc>
          <w:tcPr>
            <w:tcW w:w="7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r>
      <w:tr>
        <w:trPr>
          <w:trHeight w:val="31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Performance Criteria</w:t>
            </w: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EPS Growth (65% weight)</w:t>
            </w:r>
          </w:p>
        </w:tc>
      </w:tr>
      <w:tr>
        <w:trPr>
          <w:trHeight w:val="234"/>
        </w:trPr>
        <w:tc>
          <w:tcPr>
            <w:tcW w:w="7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Return on Invested Capital (35% weight)</w:t>
            </w:r>
          </w:p>
        </w:tc>
      </w:tr>
      <w:tr>
        <w:trPr>
          <w:trHeight w:val="31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TSR Modifier</w:t>
            </w:r>
          </w:p>
        </w:tc>
        <w:tc>
          <w:tcPr>
            <w:tcW w:w="7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Vested performance shares increase by 30% for three-year TSR performance that is at or above the</w:t>
            </w:r>
          </w:p>
        </w:tc>
      </w:tr>
      <w:tr>
        <w:trPr>
          <w:trHeight w:val="338"/>
        </w:trPr>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versus the peer group</w:t>
            </w:r>
          </w:p>
        </w:tc>
      </w:tr>
      <w:tr>
        <w:trPr>
          <w:trHeight w:val="216"/>
        </w:trPr>
        <w:tc>
          <w:tcPr>
            <w:tcW w:w="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8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17"/>
                <w:szCs w:val="17"/>
                <w:color w:val="auto"/>
              </w:rPr>
              <w:t>•  Vested performance shares are unchanged for three-year TSR performance that is between the 25</w:t>
            </w:r>
            <w:r>
              <w:rPr>
                <w:rFonts w:ascii="Times New Roman" w:cs="Times New Roman" w:eastAsia="Times New Roman" w:hAnsi="Times New Roman"/>
                <w:sz w:val="25"/>
                <w:szCs w:val="25"/>
                <w:color w:val="auto"/>
                <w:vertAlign w:val="superscript"/>
              </w:rPr>
              <w:t>th</w:t>
            </w:r>
          </w:p>
        </w:tc>
      </w:tr>
      <w:tr>
        <w:trPr>
          <w:trHeight w:val="338"/>
        </w:trPr>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versus peer group</w:t>
            </w:r>
          </w:p>
        </w:tc>
      </w:tr>
      <w:tr>
        <w:trPr>
          <w:trHeight w:val="216"/>
        </w:trPr>
        <w:tc>
          <w:tcPr>
            <w:tcW w:w="7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Vested performance shares decrease by 30% for three-year TSR performance that is at or below</w:t>
            </w:r>
          </w:p>
        </w:tc>
      </w:tr>
      <w:tr>
        <w:trPr>
          <w:trHeight w:val="360"/>
        </w:trPr>
        <w:tc>
          <w:tcPr>
            <w:tcW w:w="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versus the peer group</w:t>
            </w:r>
          </w:p>
        </w:tc>
      </w:tr>
    </w:tbl>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2025 Long-Term Equity Incentive Awards</w:t>
      </w:r>
    </w:p>
    <w:p>
      <w:pPr>
        <w:spacing w:after="0" w:line="121" w:lineRule="exact"/>
        <w:rPr>
          <w:sz w:val="20"/>
          <w:szCs w:val="20"/>
          <w:color w:val="auto"/>
        </w:rPr>
      </w:pPr>
    </w:p>
    <w:p>
      <w:pPr>
        <w:ind w:left="4" w:right="120"/>
        <w:spacing w:after="0" w:line="255" w:lineRule="auto"/>
        <w:rPr>
          <w:sz w:val="20"/>
          <w:szCs w:val="20"/>
          <w:color w:val="auto"/>
        </w:rPr>
      </w:pPr>
      <w:r>
        <w:rPr>
          <w:rFonts w:ascii="Times New Roman" w:cs="Times New Roman" w:eastAsia="Times New Roman" w:hAnsi="Times New Roman"/>
          <w:sz w:val="18"/>
          <w:szCs w:val="18"/>
          <w:color w:val="auto"/>
        </w:rPr>
        <w:t>In May 2025, the Middleby Compensation Committee approved LTI equity awards to Middleby’s named executive officers consisting of performance-based PSUs (66.7% of target LTI value) and time-based RSUs (33.3% of target LTI value). The performance period for the performance-based PSUs covers fiscal years 2025, 2026 and 2027, and vesting, if any, will be approved by the Middleby Compensation Committee in the first quarter of fiscal year 2028. The time-based RSUs will vest, subject to the named executive officer’s continued employment, in equal increments, in March 2026, March 2027 and March 2028. The shares underlying the time-based RSUs must be held until the end of the three-fiscal-year period to which they relate. All future performance-based equity grants made during Middleby’s annual grant cycle are currently expected also to have a three-year performance and vesting period.</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Target LTI awards for our Named Executive Officers are shown below.</w:t>
      </w:r>
    </w:p>
    <w:p>
      <w:pPr>
        <w:spacing w:after="0" w:line="255" w:lineRule="exact"/>
        <w:rPr>
          <w:sz w:val="20"/>
          <w:szCs w:val="20"/>
          <w:color w:val="auto"/>
        </w:rPr>
      </w:pPr>
    </w:p>
    <w:tbl>
      <w:tblPr>
        <w:tblLayout w:type="fixed"/>
        <w:tblInd w:w="884"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278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target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Target time-</w:t>
            </w:r>
          </w:p>
        </w:tc>
        <w:tc>
          <w:tcPr>
            <w:tcW w:w="0" w:type="dxa"/>
            <w:vAlign w:val="bottom"/>
          </w:tcPr>
          <w:p>
            <w:pPr>
              <w:spacing w:after="0"/>
              <w:rPr>
                <w:sz w:val="1"/>
                <w:szCs w:val="1"/>
                <w:color w:val="auto"/>
              </w:rPr>
            </w:pPr>
          </w:p>
        </w:tc>
      </w:tr>
      <w:tr>
        <w:trPr>
          <w:trHeight w:val="225"/>
        </w:trPr>
        <w:tc>
          <w:tcPr>
            <w:tcW w:w="1760" w:type="dxa"/>
            <w:vAlign w:val="bottom"/>
            <w:tcBorders>
              <w:bottom w:val="single" w:sz="8" w:color="auto"/>
            </w:tcBorders>
            <w:vMerge w:val="continue"/>
          </w:tcPr>
          <w:p>
            <w:pPr>
              <w:spacing w:after="0"/>
              <w:rPr>
                <w:sz w:val="19"/>
                <w:szCs w:val="19"/>
                <w:color w:val="auto"/>
              </w:rPr>
            </w:pPr>
          </w:p>
        </w:tc>
        <w:tc>
          <w:tcPr>
            <w:tcW w:w="4040" w:type="dxa"/>
            <w:vAlign w:val="bottom"/>
            <w:gridSpan w:val="3"/>
          </w:tcPr>
          <w:p>
            <w:pPr>
              <w:ind w:left="2780"/>
              <w:spacing w:after="0"/>
              <w:rPr>
                <w:sz w:val="20"/>
                <w:szCs w:val="20"/>
                <w:color w:val="auto"/>
              </w:rPr>
            </w:pPr>
            <w:r>
              <w:rPr>
                <w:rFonts w:ascii="Times New Roman" w:cs="Times New Roman" w:eastAsia="Times New Roman" w:hAnsi="Times New Roman"/>
                <w:sz w:val="16"/>
                <w:szCs w:val="16"/>
                <w:b w:val="1"/>
                <w:bCs w:val="1"/>
                <w:color w:val="auto"/>
                <w:w w:val="99"/>
              </w:rPr>
              <w:t>value of award (1)</w:t>
            </w:r>
          </w:p>
        </w:tc>
        <w:tc>
          <w:tcPr>
            <w:tcW w:w="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based PSUs</w:t>
            </w:r>
          </w:p>
        </w:tc>
        <w:tc>
          <w:tcPr>
            <w:tcW w:w="8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based RSUs</w:t>
            </w: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Mark M. Salman</w:t>
            </w:r>
          </w:p>
        </w:tc>
        <w:tc>
          <w:tcPr>
            <w:tcW w:w="27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1,574,055</w:t>
            </w:r>
          </w:p>
        </w:tc>
        <w:tc>
          <w:tcPr>
            <w:tcW w:w="8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w:t>
            </w:r>
          </w:p>
        </w:tc>
        <w:tc>
          <w:tcPr>
            <w:tcW w:w="8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Matthew R. Fuchsen</w:t>
            </w:r>
          </w:p>
        </w:tc>
        <w:tc>
          <w:tcPr>
            <w:tcW w:w="308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1,467,319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424" w:right="300" w:hanging="424"/>
        <w:spacing w:after="0" w:line="266"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Middleby Compensation Committee determined the number of PSUs and RSUs to grant based on the price of Middleby common stock on May 13, 2025, which was $149.91 per Middleby share. The numbers in this column will differ from the fiscal 2025 numbers in the “Stock Awards” column in the Summary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24"/>
          </w:cols>
          <w:pgMar w:left="436" w:top="266" w:right="439" w:bottom="1440" w:gutter="0" w:footer="0" w:header="0"/>
        </w:sectPr>
      </w:pPr>
    </w:p>
    <w:bookmarkStart w:id="132" w:name="page133"/>
    <w:bookmarkEnd w:id="132"/>
    <w:p>
      <w:pPr>
        <w:ind w:left="420"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Table for Fiscal Year 2025 because in that table, values are calculated in accordance with Financial Accounting Standards Board Accounting Standards Codification Topic 718 (“FASB ASC Topic 718”).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Targets for 2025 LTI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performance-based PSUs have two primary metrics: Adjusted EPS Growth (65%) and Return on Invested Capital (35%).</w:t>
      </w:r>
    </w:p>
    <w:p>
      <w:pPr>
        <w:sectPr>
          <w:pgSz w:w="11900" w:h="16838" w:orient="portrait"/>
          <w:cols w:equalWidth="0" w:num="1">
            <w:col w:w="11000"/>
          </w:cols>
          <w:pgMar w:left="440" w:top="270" w:right="459" w:bottom="1440" w:gutter="0" w:footer="0" w:header="0"/>
        </w:sect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91"/>
        </w:trPr>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Adjusted EPS Growth</w:t>
            </w:r>
          </w:p>
        </w:tc>
        <w:tc>
          <w:tcPr>
            <w:tcW w:w="12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Net Earnings plus the following: amortization,</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 acquisition-related inventory</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step-up charges, facility consolidation expense, net</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periodic pension benefit other than service costs,</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one-time restructuring costs and income tax effect of</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pre-tax adjustments, with the result divided by shares</w:t>
            </w: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r>
      <w:tr>
        <w:trPr>
          <w:trHeight w:val="30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Return on Invested Capital</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operating profit after tax for a fiscal year</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period divided by average invested capital for the</w:t>
            </w: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same fiscal year period.</w:t>
            </w: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5114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This is an easily understood metric that is reported in Middleby’s earnings releases, that closely aligns with stockholder growth expectations and that is closely aligned with the valuation of Middleby.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metric closely aligns to stockholder value creation by measuring how well Middleby is using its capital it has invested to generate profit. It rewards the improvement of EBITDA while using resources wisely, supporting smart investments and focusing on long-term value.</w:t>
      </w:r>
    </w:p>
    <w:p>
      <w:pPr>
        <w:spacing w:after="0" w:line="187" w:lineRule="exact"/>
        <w:rPr>
          <w:sz w:val="20"/>
          <w:szCs w:val="20"/>
          <w:color w:val="auto"/>
        </w:rPr>
      </w:pPr>
    </w:p>
    <w:p>
      <w:pPr>
        <w:sectPr>
          <w:pgSz w:w="11900" w:h="16838" w:orient="portrait"/>
          <w:cols w:equalWidth="0" w:num="2">
            <w:col w:w="6940" w:space="120"/>
            <w:col w:w="3940"/>
          </w:cols>
          <w:pgMar w:left="440" w:top="270" w:right="459" w:bottom="1440" w:gutter="0" w:footer="0" w:header="0"/>
          <w:type w:val="continuous"/>
        </w:sect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Performance targets are set based on management’s multi-year forecast of Adjusted EPS Growth and Return on Invested Capital. The maximum possible payout is 200% of target based on Middleby’s performance against goals for these measures, subject to a further TSR modifier as described below.</w:t>
      </w:r>
    </w:p>
    <w:p>
      <w:pPr>
        <w:spacing w:after="0" w:line="176"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Once awards are calculated based on Middleby’s performance for the three-year performance period (“Pre-TSR Vested Shares”), the Middleby Compensation Committee will calculate whether the TSR modifier applies. If Middleby’s TSR for the three-year performance period is at or above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versus the peer group, the final grants to Middleby’s named executive officers will equal the number of Pre-TSR Vested Shares multiplied by 130%. Conversely, if Middleby’s TSR for the three-year performance period is at or below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versus the peer group, the final grants to Middleby’s named executive officers will equal the number of Pre-TSR Vested Shares multiplied by 70% (meaning that there is a negative adjustment of 30%). Final awards will equal the number of Pre-TSR Vested Shares if Middleby’s TSR for the three-year performance period falls between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percentiles versus the peer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Time-Based RSUs; Holding Period</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time-based LTI awards vest ratably over three years, so long as the recipient is still employed by Middleby. However, the shares underlying the vested RSUs may not be sold or otherwise transferred until the associated performance-based PSUs vest (or fail to vest based on performance). The TSR modifier will not affect the number of time-based RSUs that vest.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Forward</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anticipate that our executive compensation program upon the spin-off will generally include similar elements to Middleby’s executive compensation programs. Following the spin-off, our Compensation Committee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70" w:right="459" w:bottom="1440" w:gutter="0" w:footer="0" w:header="0"/>
          <w:type w:val="continuous"/>
        </w:sectPr>
      </w:pPr>
    </w:p>
    <w:bookmarkStart w:id="133" w:name="page134"/>
    <w:bookmarkEnd w:id="133"/>
    <w:p>
      <w:pPr>
        <w:ind w:left="4"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review the primary elements of our executive compensation program, and the mix of such elements, to ensure they meet our business needs and strategic objectives. This will include a review of base salary as well as short-term and long-term incentive programs and other elements of compensation.</w:t>
      </w:r>
    </w:p>
    <w:p>
      <w:pPr>
        <w:spacing w:after="0" w:line="176" w:lineRule="exact"/>
        <w:rPr>
          <w:sz w:val="20"/>
          <w:szCs w:val="20"/>
          <w:color w:val="auto"/>
        </w:rPr>
      </w:pPr>
    </w:p>
    <w:p>
      <w:pPr>
        <w:jc w:val="both"/>
        <w:ind w:left="4" w:right="280"/>
        <w:spacing w:after="0" w:line="266" w:lineRule="auto"/>
        <w:rPr>
          <w:sz w:val="20"/>
          <w:szCs w:val="20"/>
          <w:color w:val="auto"/>
        </w:rPr>
      </w:pPr>
      <w:r>
        <w:rPr>
          <w:rFonts w:ascii="Times New Roman" w:cs="Times New Roman" w:eastAsia="Times New Roman" w:hAnsi="Times New Roman"/>
          <w:sz w:val="18"/>
          <w:szCs w:val="18"/>
          <w:color w:val="auto"/>
        </w:rPr>
        <w:t>In accordance with his employment agreement, Mr. Salman is expected to receive an annual salary increase, which will be effective at the time of the spin-off, from $650,000 to $750,000. Additionally, as further described below under “—Other NEO Arrangements—Spin-Off Incentive Grants,” we expect to grant certain of our executive officers an equity award following the spin-off comprising of SpinCo RSUs and SpinCo PSUs.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Initial Compensation</w:t>
      </w:r>
    </w:p>
    <w:p>
      <w:pPr>
        <w:spacing w:after="0" w:line="121"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The Middleby Board has approved of the initial compensation for each of Mr. Salman, Ms. Campbell, Mr. Bowie, and Mr. Fuchsen (our anticipated CEO, CFO, Chief Operating Officer, and Chief Strategy Officer, respectively) as provided in the table below.</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940" w:type="dxa"/>
            <w:vAlign w:val="bottom"/>
            <w:vMerge w:val="restart"/>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Approved Compensation for Anticipated Executives</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0" w:type="dxa"/>
            <w:vAlign w:val="bottom"/>
            <w:tcBorders>
              <w:bottom w:val="single" w:sz="8" w:color="auto"/>
            </w:tcBorders>
            <w:vMerge w:val="continue"/>
          </w:tcPr>
          <w:p>
            <w:pPr>
              <w:spacing w:after="0"/>
              <w:rPr>
                <w:sz w:val="12"/>
                <w:szCs w:val="12"/>
                <w:color w:val="auto"/>
              </w:rPr>
            </w:pPr>
          </w:p>
        </w:tc>
        <w:tc>
          <w:tcPr>
            <w:tcW w:w="4940" w:type="dxa"/>
            <w:vAlign w:val="bottom"/>
            <w:vMerge w:val="continue"/>
          </w:tcPr>
          <w:p>
            <w:pPr>
              <w:spacing w:after="0"/>
              <w:rPr>
                <w:sz w:val="12"/>
                <w:szCs w:val="12"/>
                <w:color w:val="auto"/>
              </w:rPr>
            </w:pPr>
          </w:p>
        </w:tc>
        <w:tc>
          <w:tcPr>
            <w:tcW w:w="10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STI ($)</w:t>
            </w:r>
            <w:r>
              <w:rPr>
                <w:rFonts w:ascii="Times New Roman" w:cs="Times New Roman" w:eastAsia="Times New Roman" w:hAnsi="Times New Roman"/>
                <w:sz w:val="10"/>
                <w:szCs w:val="10"/>
                <w:b w:val="1"/>
                <w:bCs w:val="1"/>
                <w:color w:val="auto"/>
              </w:rPr>
              <w:t>(1)</w:t>
            </w:r>
          </w:p>
        </w:tc>
        <w:tc>
          <w:tcPr>
            <w:tcW w:w="16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STI Target / Max (%)</w:t>
            </w:r>
          </w:p>
        </w:tc>
        <w:tc>
          <w:tcPr>
            <w:tcW w:w="11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LTI ($)</w:t>
            </w:r>
            <w:r>
              <w:rPr>
                <w:rFonts w:ascii="Times New Roman" w:cs="Times New Roman" w:eastAsia="Times New Roman" w:hAnsi="Times New Roman"/>
                <w:sz w:val="10"/>
                <w:szCs w:val="10"/>
                <w:b w:val="1"/>
                <w:bCs w:val="1"/>
                <w:color w:val="auto"/>
              </w:rPr>
              <w:t>(2)</w:t>
            </w:r>
          </w:p>
        </w:tc>
        <w:tc>
          <w:tcPr>
            <w:tcW w:w="78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Total ($)</w:t>
            </w:r>
            <w:r>
              <w:rPr>
                <w:rFonts w:ascii="Times New Roman" w:cs="Times New Roman" w:eastAsia="Times New Roman" w:hAnsi="Times New Roman"/>
                <w:sz w:val="10"/>
                <w:szCs w:val="10"/>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Mark M. Salman</w:t>
            </w: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750,000</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5"/>
              </w:rPr>
              <w:t>750,000</w:t>
            </w:r>
          </w:p>
        </w:tc>
        <w:tc>
          <w:tcPr>
            <w:tcW w:w="3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100% / 200%</w:t>
            </w: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4,500,000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Amy A. Campbell</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545,000</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545,000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150%</w:t>
            </w:r>
          </w:p>
        </w:tc>
        <w:tc>
          <w:tcPr>
            <w:tcW w:w="3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1,362,500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2,452,500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 S. Bowie</w:t>
            </w: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475,000</w:t>
            </w:r>
          </w:p>
        </w:tc>
        <w:tc>
          <w:tcPr>
            <w:tcW w:w="1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475,000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 150%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1,187,500</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2,137,500</w:t>
            </w:r>
          </w:p>
        </w:tc>
        <w:tc>
          <w:tcPr>
            <w:tcW w:w="0" w:type="dxa"/>
            <w:vAlign w:val="bottom"/>
          </w:tcPr>
          <w:p>
            <w:pPr>
              <w:spacing w:after="0"/>
              <w:rPr>
                <w:sz w:val="1"/>
                <w:szCs w:val="1"/>
                <w:color w:val="auto"/>
              </w:rPr>
            </w:pPr>
          </w:p>
        </w:tc>
      </w:t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Matthew R. Fuchsen</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450,000</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450,000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150%</w:t>
            </w:r>
          </w:p>
        </w:tc>
        <w:tc>
          <w:tcPr>
            <w:tcW w:w="34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1,125,000</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2,025,000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24" w:right="200" w:hanging="424"/>
        <w:spacing w:after="0" w:line="208" w:lineRule="auto"/>
        <w:tabs>
          <w:tab w:leader="none" w:pos="424" w:val="left"/>
        </w:tabs>
        <w:numPr>
          <w:ilvl w:val="0"/>
          <w:numId w:val="7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amounts in this column represent the target annual cash incentive (“STI”) compensation for each of the executives that was approved by the Middleby Board.</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0" w:lineRule="auto"/>
        <w:tabs>
          <w:tab w:leader="none" w:pos="424" w:val="left"/>
        </w:tabs>
        <w:numPr>
          <w:ilvl w:val="0"/>
          <w:numId w:val="7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 amounts in this column represent the target LTI compensation for each of the executives that was approved by the Middleby Board.</w:t>
      </w:r>
    </w:p>
    <w:p>
      <w:pPr>
        <w:spacing w:after="0" w:line="2" w:lineRule="exact"/>
        <w:rPr>
          <w:rFonts w:ascii="Times New Roman" w:cs="Times New Roman" w:eastAsia="Times New Roman" w:hAnsi="Times New Roman"/>
          <w:sz w:val="25"/>
          <w:szCs w:val="25"/>
          <w:color w:val="auto"/>
          <w:vertAlign w:val="superscript"/>
        </w:rPr>
      </w:pPr>
    </w:p>
    <w:p>
      <w:pPr>
        <w:ind w:left="424" w:hanging="424"/>
        <w:spacing w:after="0" w:line="186" w:lineRule="auto"/>
        <w:tabs>
          <w:tab w:leader="none" w:pos="424" w:val="left"/>
        </w:tabs>
        <w:numPr>
          <w:ilvl w:val="0"/>
          <w:numId w:val="7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amounts in this column represent total compensation amounts for each of the executives, assuming STI and LTI at target-level achievement.</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Short-Term Incentive Plan</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We expect the SpinCo Board to adopt the SpinCo Value Creation Incentive Plan (the “SpinCo VCIP”) for the benefit of certain of our current and future employees. We believe annual incentive compensation is an important element of compensation that serves to attract and retain the best possible talent and to motivate employees to achieve goals that will create value for SpinCo and its stockholders. The SpinCo VCIP provides an array of performance criteria that may be selected in order to drive corporate results, and payment of awards under the SpinCo VCIP is contingent on SpinCo achieving designated performance goals established by our Compensation Committee.</w:t>
      </w:r>
    </w:p>
    <w:p>
      <w:pPr>
        <w:spacing w:after="0" w:line="183"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Each of Messrs. Salman, Fuchsen and Bowie, and Ms. Campbell, are expected to participate in the SpinCo VCIP. As listed above, each of Messrs. Salman, Fuchsen, and Bowie, and Ms. Campbell, are to have a target short-term incentive compensation opportunity equal to 100% of their base salary, with a maximum short-term incentive compensation opportunity of 200% of base salary for Mr. Salman and 150% of base salary for Messrs. Fuchsen and Bowie and Ms. Campbell.</w:t>
      </w:r>
    </w:p>
    <w:p>
      <w:pPr>
        <w:spacing w:after="0" w:line="180"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Bonuses under the SpinCo VCIP will be paid based on attainment of performance goals with respect to a designated performance period, which will be a fiscal year of SpinCo or such longer period as the committee administering the SpinCo VCIP may determine. The committee administering the plan will have the flexibility to (i) pay pro-rata bonuses to employees who would otherwise be eligible, but who are not employed by SpinCo on the last business day of the fiscal year, provided that the pre-established performance goals approved by such committee are attained and (ii) pay pro-rata bonuses based on a period shorter than a full fiscal year, subject to attainment of prorated performance goals.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24"/>
          </w:cols>
          <w:pgMar w:left="436" w:top="270"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Severance Plan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anticipate adopting an executive severance plan (the “ESP”), under which certain executives, including Messrs. Salman, Fuchsen and Bowie and Ms. Campbell, will be eligible to participate. Under the ESP, if a participant’s employment is terminated by us without “cause” outside of the period of time spanning 24 months following a change in control, the participant will be entitled to, subject to the release of claims and adherence to certain restrictive covenant requirements:</w:t>
      </w:r>
    </w:p>
    <w:p>
      <w:pPr>
        <w:spacing w:after="0" w:line="85" w:lineRule="exact"/>
        <w:rPr>
          <w:sz w:val="20"/>
          <w:szCs w:val="20"/>
          <w:color w:val="auto"/>
        </w:rPr>
      </w:pPr>
    </w:p>
    <w:p>
      <w:pPr>
        <w:ind w:left="960" w:hanging="4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 Participants, an amount equal to 3.00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II Participants, an amount equal to 1.00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III Participants, an amount equal to 1.00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 Tier II and Tier III participants, an amount equal to the participant’s annual bonus at the actual level of performance, pro-rated through the date of employment termination; and</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Tier I, Tier II and Tier III participants only, COBRA health care continuation coverage for up to 18 months for Tier I participants, up to 12 months for Tier II participants and up to 12 months for Tier III participants.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alternative event that a participant’s employment is terminated by us without cause (as defined in the ESP) or a participant resigns their employment for good reason (as defined in the ESP), in either case, within 24 months following a change in control (as defined in the ESP), subject to the participant’s timely execution of a release of claims and continued compliance with customary restrictive covenants thereafter, the participant will be entitled to the following severance payments and benefits:</w:t>
      </w:r>
    </w:p>
    <w:p>
      <w:pPr>
        <w:spacing w:after="0" w:line="85" w:lineRule="exact"/>
        <w:rPr>
          <w:sz w:val="20"/>
          <w:szCs w:val="20"/>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 Participants, an amount equal to 3.00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II Participants, an amount equal to 2.00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III Participants, an amount equal to 1.00 times the sum of (i) the annual base salary and (ii) the target annual bonus;</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Tier I, Tier II and Tier III participants, an amount equal to the participant’s target annual bonus for the year of termination, pro-rated through the date of employment termination; and</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Tier I, Tier II and Tier III participants only, COBRA health care continuation coverage for up to 18 months for Tier I participants, up to 18 months for Tier II participants and up to 18 months for Tier III participants.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Mr. Salman is expected to be classified as a Tier I participant in the ESP. Each of Messrs. Fuchsen and Bowie, and Ms. Campbell, are expected to be classified as Tier II participants in the ESP.</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ESP provides for the reimbursement of a participant’s reasonable legal fees in the event of a dispute arising under the ESP on or following a change in control.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Middleby Practice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Perquisites; 401(k) Plan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Named Executive Officers and senior executives receive only limited perquisites. Middleby does not offer the NEOs automobile allowances, club memberships or other professional fee reimbursements.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80"/>
          </w:cols>
          <w:pgMar w:left="440" w:top="266" w:right="479" w:bottom="1440" w:gutter="0" w:footer="0" w:header="0"/>
        </w:sectPr>
      </w:pPr>
    </w:p>
    <w:bookmarkStart w:id="135" w:name="page136"/>
    <w:bookmarkEnd w:id="135"/>
    <w:p>
      <w:pPr>
        <w:ind w:left="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Middleby maintains a 401(k) retirement savings plan for its employees in the United States, including its Named Executive Officers, and Middleby’s Named Executive Officers are eligible to participate in the 401(k) plan on the same terms as other full-time employees. The Named Executive Officers do not participate in any other Middleby retirement plans.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Going Forward</w:t>
      </w:r>
    </w:p>
    <w:p>
      <w:pPr>
        <w:spacing w:after="0" w:line="121"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We have adopted a similar retirement plan to that maintained by Middleby upon the spin-off. Following the spin-off, our Compensation Committee will review the retirement plans we have adopted to ensure that they meet our business needs and strategic objectives.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 for Fiscal Year 2025</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annual and long-term compensation for services to Middleby in all capacities received by the Named Executive Officers for fiscal year 2025.</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0" w:type="dxa"/>
            <w:vAlign w:val="bottom"/>
            <w:gridSpan w:val="2"/>
            <w:vMerge w:val="restart"/>
          </w:tcPr>
          <w:p>
            <w:pPr>
              <w:jc w:val="center"/>
              <w:ind w:right="43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7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2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20" w:type="dxa"/>
            <w:vAlign w:val="bottom"/>
            <w:gridSpan w:val="2"/>
          </w:tcPr>
          <w:p>
            <w:pPr>
              <w:jc w:val="right"/>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gridSpan w:val="2"/>
          </w:tcPr>
          <w:p>
            <w:pPr>
              <w:jc w:val="center"/>
              <w:ind w:right="433"/>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2100" w:type="dxa"/>
            <w:vAlign w:val="bottom"/>
          </w:tcPr>
          <w:p>
            <w:pPr>
              <w:spacing w:after="0"/>
              <w:rPr>
                <w:sz w:val="15"/>
                <w:szCs w:val="15"/>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5"/>
                <w:szCs w:val="15"/>
                <w:color w:val="auto"/>
              </w:rPr>
            </w:pP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320" w:type="dxa"/>
            <w:vAlign w:val="bottom"/>
          </w:tcPr>
          <w:p>
            <w:pPr>
              <w:spacing w:after="0"/>
              <w:rPr>
                <w:sz w:val="15"/>
                <w:szCs w:val="15"/>
                <w:color w:val="auto"/>
              </w:rPr>
            </w:pP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5"/>
                <w:szCs w:val="15"/>
                <w:color w:val="auto"/>
              </w:rPr>
            </w:pP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Mark M. Salman</w:t>
            </w:r>
          </w:p>
        </w:tc>
        <w:tc>
          <w:tcPr>
            <w:tcW w:w="420" w:type="dxa"/>
            <w:vAlign w:val="bottom"/>
            <w:tcBorders>
              <w:top w:val="single" w:sz="8" w:color="auto"/>
            </w:tcBorders>
            <w:shd w:val="clear" w:color="auto" w:fill="CCEEFF"/>
          </w:tcPr>
          <w:p>
            <w:pPr>
              <w:ind w:left="60"/>
              <w:spacing w:after="0" w:line="170" w:lineRule="exact"/>
              <w:rPr>
                <w:sz w:val="20"/>
                <w:szCs w:val="20"/>
                <w:color w:val="auto"/>
              </w:rPr>
            </w:pPr>
            <w:r>
              <w:rPr>
                <w:rFonts w:ascii="Times New Roman" w:cs="Times New Roman" w:eastAsia="Times New Roman" w:hAnsi="Times New Roman"/>
                <w:sz w:val="18"/>
                <w:szCs w:val="18"/>
                <w:color w:val="auto"/>
                <w:w w:val="94"/>
              </w:rPr>
              <w:t>2025</w:t>
            </w:r>
          </w:p>
        </w:tc>
        <w:tc>
          <w:tcPr>
            <w:tcW w:w="3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400,000</w:t>
            </w:r>
          </w:p>
        </w:tc>
        <w:tc>
          <w:tcPr>
            <w:tcW w:w="3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1,737,715</w:t>
            </w:r>
          </w:p>
        </w:tc>
        <w:tc>
          <w:tcPr>
            <w:tcW w:w="3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ind w:left="800"/>
              <w:spacing w:after="0" w:line="169" w:lineRule="exact"/>
              <w:rPr>
                <w:sz w:val="20"/>
                <w:szCs w:val="20"/>
                <w:color w:val="auto"/>
              </w:rPr>
            </w:pPr>
            <w:r>
              <w:rPr>
                <w:rFonts w:ascii="Times New Roman" w:cs="Times New Roman" w:eastAsia="Times New Roman" w:hAnsi="Times New Roman"/>
                <w:sz w:val="17"/>
                <w:szCs w:val="17"/>
                <w:color w:val="auto"/>
                <w:w w:val="70"/>
              </w:rPr>
              <w:t>0</w:t>
            </w:r>
          </w:p>
        </w:tc>
        <w:tc>
          <w:tcPr>
            <w:tcW w:w="3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19,192</w:t>
            </w:r>
          </w:p>
        </w:tc>
        <w:tc>
          <w:tcPr>
            <w:tcW w:w="500" w:type="dxa"/>
            <w:vAlign w:val="bottom"/>
            <w:tcBorders>
              <w:top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2"/>
              </w:rPr>
              <w:t>(2)</w:t>
            </w: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2,156,907</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Food Processing Group</w:t>
            </w: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Matthew R. Fuchsen</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432,600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1,620,370</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tcPr>
          <w:p>
            <w:pPr>
              <w:jc w:val="right"/>
              <w:ind w:right="273"/>
              <w:spacing w:after="0" w:line="222" w:lineRule="exact"/>
              <w:rPr>
                <w:sz w:val="20"/>
                <w:szCs w:val="20"/>
                <w:color w:val="auto"/>
              </w:rPr>
            </w:pPr>
            <w:r>
              <w:rPr>
                <w:rFonts w:ascii="Times New Roman" w:cs="Times New Roman" w:eastAsia="Times New Roman" w:hAnsi="Times New Roman"/>
                <w:sz w:val="17"/>
                <w:szCs w:val="17"/>
                <w:color w:val="auto"/>
              </w:rPr>
              <w:t>12,245</w:t>
            </w:r>
            <w:r>
              <w:rPr>
                <w:rFonts w:ascii="Times New Roman" w:cs="Times New Roman" w:eastAsia="Times New Roman" w:hAnsi="Times New Roman"/>
                <w:sz w:val="25"/>
                <w:szCs w:val="25"/>
                <w:color w:val="auto"/>
                <w:vertAlign w:val="superscript"/>
              </w:rPr>
              <w:t>(3)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2,065,215</w:t>
            </w:r>
          </w:p>
        </w:tc>
        <w:tc>
          <w:tcPr>
            <w:tcW w:w="0" w:type="dxa"/>
            <w:vAlign w:val="bottom"/>
          </w:tcPr>
          <w:p>
            <w:pPr>
              <w:spacing w:after="0"/>
              <w:rPr>
                <w:sz w:val="1"/>
                <w:szCs w:val="1"/>
                <w:color w:val="auto"/>
              </w:rPr>
            </w:pPr>
          </w:p>
        </w:tc>
      </w:tr>
      <w:tr>
        <w:trPr>
          <w:trHeight w:val="23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Development Officer</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120" w:hanging="424"/>
        <w:spacing w:after="0" w:line="252" w:lineRule="auto"/>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column of the table reflect the fair value on the grant date of equity awards granted to the NEOs determined in accordance with FASB ASC Topic 718, excluding the effect of estimated forfeitures. For time-based RSUs, fair value is computed by multiplying the total number of shares subject to the award (or target number of shares, if applicable) by the closing price per share of our common stock as reported on the date of grant. For the PSUs, fair value has been calculated based on the probable outcome of the applicable performance conditions and a Monte Carlo simulation valuation model to reflect the impact of the TSR modifier, incorporating the following significant assumptions with respect to the May 13, 2025 grant: (a) a risk-free interest rate of 4.01%, based on the U.S. constant maturity treasury rates commensurate with the expected term; (b) expected dividend yield of 0.0%; (c) expected volatility of 30.6%, based on the historical trading prices of Middleby with look-back periods commensurate with the expected term; and (d) expected term of 2.63 years. The closing trading value of Middleby’s common stock was $149.91 per share on May 13, 2025. The fair value on the grant date of the PSUs granted to the NEOs during 2025 based upon the maximum possible level of achievement under such awards would be $3,153,878 for Mr. Salman and $2,940,766 for</w:t>
      </w:r>
    </w:p>
    <w:p>
      <w:pPr>
        <w:spacing w:after="0" w:line="5"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Fuchsen.</w:t>
      </w:r>
    </w:p>
    <w:p>
      <w:pPr>
        <w:spacing w:after="0" w:line="9" w:lineRule="exact"/>
        <w:rPr>
          <w:rFonts w:ascii="Times New Roman" w:cs="Times New Roman" w:eastAsia="Times New Roman" w:hAnsi="Times New Roman"/>
          <w:sz w:val="18"/>
          <w:szCs w:val="18"/>
          <w:color w:val="auto"/>
        </w:rPr>
      </w:pPr>
    </w:p>
    <w:p>
      <w:pPr>
        <w:ind w:left="424" w:right="60" w:hanging="424"/>
        <w:spacing w:after="0" w:line="250" w:lineRule="auto"/>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amounts in 2025 for Mr. Salman include a $1,375 Middleby contribution to a health savings account, $7,163 in Middleby-paid life insurance premiums and a 401(k) Middleby company matching contribution of $10,654.</w:t>
      </w:r>
    </w:p>
    <w:p>
      <w:pPr>
        <w:ind w:left="424" w:right="60" w:hanging="424"/>
        <w:spacing w:after="0" w:line="260" w:lineRule="auto"/>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amounts in 2025 for Mr. Fuchsen include a $1,375 Middleby contribution to a health savings account, $3,870 in Middleby company-paid life insurance premiums and a 401(k) Middleby company matching contribution of $7,000.</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4"/>
          </w:cols>
          <w:pgMar w:left="436" w:top="270" w:right="439" w:bottom="1440" w:gutter="0" w:footer="0" w:header="0"/>
        </w:sectPr>
      </w:pPr>
    </w:p>
    <w:bookmarkStart w:id="136" w:name="page137"/>
    <w:bookmarkEnd w:id="136"/>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Equity Awards at 2025 Fiscal Year End</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outstanding Middleby stock awards held by the Named Executive Officers under the LTIP at the end of fiscal year 2025.</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2"/>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20" w:type="dxa"/>
            <w:vAlign w:val="bottom"/>
            <w:gridSpan w:val="2"/>
          </w:tcPr>
          <w:p>
            <w:pPr>
              <w:jc w:val="center"/>
              <w:ind w:right="7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20" w:type="dxa"/>
            <w:vAlign w:val="bottom"/>
            <w:gridSpan w:val="2"/>
          </w:tcPr>
          <w:p>
            <w:pPr>
              <w:jc w:val="center"/>
              <w:ind w:right="7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Market or Payout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460" w:type="dxa"/>
            <w:vAlign w:val="bottom"/>
            <w:gridSpan w:val="2"/>
          </w:tcPr>
          <w:p>
            <w:pPr>
              <w:jc w:val="center"/>
              <w:ind w:right="663"/>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460" w:type="dxa"/>
            <w:vAlign w:val="bottom"/>
            <w:gridSpan w:val="2"/>
          </w:tcPr>
          <w:p>
            <w:pPr>
              <w:jc w:val="center"/>
              <w:ind w:right="6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w:t>
            </w:r>
          </w:p>
        </w:tc>
        <w:tc>
          <w:tcPr>
            <w:tcW w:w="1620" w:type="dxa"/>
            <w:vAlign w:val="bottom"/>
            <w:gridSpan w:val="2"/>
          </w:tcPr>
          <w:p>
            <w:pPr>
              <w:jc w:val="center"/>
              <w:ind w:right="7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460" w:type="dxa"/>
            <w:vAlign w:val="bottom"/>
            <w:gridSpan w:val="2"/>
          </w:tcPr>
          <w:p>
            <w:pPr>
              <w:jc w:val="center"/>
              <w:ind w:right="643"/>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460" w:type="dxa"/>
            <w:vAlign w:val="bottom"/>
            <w:gridSpan w:val="2"/>
          </w:tcPr>
          <w:p>
            <w:pPr>
              <w:jc w:val="center"/>
              <w:ind w:right="6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1620" w:type="dxa"/>
            <w:vAlign w:val="bottom"/>
            <w:gridSpan w:val="2"/>
          </w:tcPr>
          <w:p>
            <w:pPr>
              <w:jc w:val="center"/>
              <w:ind w:right="7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Units</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460" w:type="dxa"/>
            <w:vAlign w:val="bottom"/>
            <w:gridSpan w:val="2"/>
          </w:tcPr>
          <w:p>
            <w:pPr>
              <w:jc w:val="center"/>
              <w:ind w:right="643"/>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1460" w:type="dxa"/>
            <w:vAlign w:val="bottom"/>
            <w:gridSpan w:val="2"/>
          </w:tcPr>
          <w:p>
            <w:pPr>
              <w:jc w:val="right"/>
              <w:ind w:right="7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 of Stock</w:t>
            </w:r>
          </w:p>
        </w:tc>
        <w:tc>
          <w:tcPr>
            <w:tcW w:w="1620" w:type="dxa"/>
            <w:vAlign w:val="bottom"/>
            <w:gridSpan w:val="2"/>
          </w:tcPr>
          <w:p>
            <w:pPr>
              <w:jc w:val="center"/>
              <w:ind w:right="7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Other</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460" w:type="dxa"/>
            <w:vAlign w:val="bottom"/>
            <w:gridSpan w:val="2"/>
          </w:tcPr>
          <w:p>
            <w:pPr>
              <w:jc w:val="center"/>
              <w:ind w:right="663"/>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1460" w:type="dxa"/>
            <w:vAlign w:val="bottom"/>
            <w:gridSpan w:val="2"/>
          </w:tcPr>
          <w:p>
            <w:pPr>
              <w:jc w:val="center"/>
              <w:ind w:right="6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1620" w:type="dxa"/>
            <w:vAlign w:val="bottom"/>
            <w:gridSpan w:val="2"/>
          </w:tcPr>
          <w:p>
            <w:pPr>
              <w:jc w:val="center"/>
              <w:ind w:right="7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Other Rights That</w:t>
            </w: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5120" w:type="dxa"/>
            <w:vAlign w:val="bottom"/>
            <w:vMerge w:val="restart"/>
          </w:tcPr>
          <w:p>
            <w:pPr>
              <w:spacing w:after="0"/>
              <w:rPr>
                <w:sz w:val="11"/>
                <w:szCs w:val="11"/>
                <w:color w:val="auto"/>
              </w:rPr>
            </w:pPr>
          </w:p>
        </w:tc>
        <w:tc>
          <w:tcPr>
            <w:tcW w:w="1460" w:type="dxa"/>
            <w:vAlign w:val="bottom"/>
            <w:gridSpan w:val="2"/>
          </w:tcPr>
          <w:p>
            <w:pPr>
              <w:jc w:val="center"/>
              <w:ind w:right="663"/>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1460" w:type="dxa"/>
            <w:vAlign w:val="bottom"/>
            <w:gridSpan w:val="2"/>
          </w:tcPr>
          <w:p>
            <w:pPr>
              <w:jc w:val="center"/>
              <w:ind w:right="6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1620" w:type="dxa"/>
            <w:vAlign w:val="bottom"/>
            <w:gridSpan w:val="2"/>
          </w:tcPr>
          <w:p>
            <w:pPr>
              <w:jc w:val="center"/>
              <w:ind w:right="7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Have Not Vested</w:t>
            </w:r>
          </w:p>
        </w:tc>
        <w:tc>
          <w:tcPr>
            <w:tcW w:w="10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0" w:type="dxa"/>
            <w:vAlign w:val="bottom"/>
          </w:tcPr>
          <w:p>
            <w:pPr>
              <w:spacing w:after="0"/>
              <w:rPr>
                <w:sz w:val="1"/>
                <w:szCs w:val="1"/>
                <w:color w:val="auto"/>
              </w:rPr>
            </w:pPr>
          </w:p>
        </w:tc>
      </w:tr>
      <w:tr>
        <w:trPr>
          <w:trHeight w:val="162"/>
        </w:trPr>
        <w:tc>
          <w:tcPr>
            <w:tcW w:w="320" w:type="dxa"/>
            <w:vAlign w:val="bottom"/>
            <w:tcBorders>
              <w:bottom w:val="single" w:sz="8" w:color="auto"/>
            </w:tcBorders>
            <w:vMerge w:val="continue"/>
          </w:tcPr>
          <w:p>
            <w:pPr>
              <w:spacing w:after="0"/>
              <w:rPr>
                <w:sz w:val="14"/>
                <w:szCs w:val="14"/>
                <w:color w:val="auto"/>
              </w:rPr>
            </w:pPr>
          </w:p>
        </w:tc>
        <w:tc>
          <w:tcPr>
            <w:tcW w:w="5120" w:type="dxa"/>
            <w:vAlign w:val="bottom"/>
            <w:vMerge w:val="continue"/>
          </w:tcPr>
          <w:p>
            <w:pPr>
              <w:spacing w:after="0"/>
              <w:rPr>
                <w:sz w:val="14"/>
                <w:szCs w:val="14"/>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700" w:type="dxa"/>
            <w:vAlign w:val="bottom"/>
          </w:tcPr>
          <w:p>
            <w:pPr>
              <w:spacing w:after="0"/>
              <w:rPr>
                <w:sz w:val="14"/>
                <w:szCs w:val="14"/>
                <w:color w:val="auto"/>
              </w:rPr>
            </w:pPr>
          </w:p>
        </w:tc>
        <w:tc>
          <w:tcPr>
            <w:tcW w:w="7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7"/>
                <w:szCs w:val="7"/>
                <w:b w:val="1"/>
                <w:bCs w:val="1"/>
                <w:color w:val="auto"/>
              </w:rPr>
              <w:t>(1)</w:t>
            </w:r>
          </w:p>
        </w:tc>
        <w:tc>
          <w:tcPr>
            <w:tcW w:w="700" w:type="dxa"/>
            <w:vAlign w:val="bottom"/>
          </w:tcPr>
          <w:p>
            <w:pPr>
              <w:spacing w:after="0"/>
              <w:rPr>
                <w:sz w:val="14"/>
                <w:szCs w:val="14"/>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720" w:type="dxa"/>
            <w:vAlign w:val="bottom"/>
          </w:tcPr>
          <w:p>
            <w:pPr>
              <w:spacing w:after="0"/>
              <w:rPr>
                <w:sz w:val="14"/>
                <w:szCs w:val="14"/>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7"/>
                <w:szCs w:val="7"/>
                <w:b w:val="1"/>
                <w:bCs w:val="1"/>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Mark M. Salman</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2,370</w:t>
            </w:r>
          </w:p>
        </w:tc>
        <w:tc>
          <w:tcPr>
            <w:tcW w:w="700" w:type="dxa"/>
            <w:vAlign w:val="bottom"/>
            <w:tcBorders>
              <w:top w:val="single" w:sz="8" w:color="CCEEFF"/>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7"/>
              </w:rPr>
              <w:t>(3)</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357,325</w:t>
            </w:r>
          </w:p>
        </w:tc>
        <w:tc>
          <w:tcPr>
            <w:tcW w:w="7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660"/>
              <w:spacing w:after="0" w:line="149" w:lineRule="exact"/>
              <w:rPr>
                <w:sz w:val="20"/>
                <w:szCs w:val="20"/>
                <w:color w:val="auto"/>
              </w:rPr>
            </w:pPr>
            <w:r>
              <w:rPr>
                <w:rFonts w:ascii="Times New Roman" w:cs="Times New Roman" w:eastAsia="Times New Roman" w:hAnsi="Times New Roman"/>
                <w:sz w:val="15"/>
                <w:szCs w:val="15"/>
                <w:color w:val="auto"/>
                <w:w w:val="97"/>
              </w:rPr>
              <w:t>— </w:t>
            </w:r>
          </w:p>
        </w:tc>
        <w:tc>
          <w:tcPr>
            <w:tcW w:w="7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5"/>
                <w:szCs w:val="15"/>
                <w:color w:val="auto"/>
              </w:rPr>
              <w:t>— </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60" w:type="dxa"/>
            <w:vAlign w:val="bottom"/>
            <w:gridSpan w:val="2"/>
          </w:tcPr>
          <w:p>
            <w:pPr>
              <w:jc w:val="right"/>
              <w:ind w:right="523"/>
              <w:spacing w:after="0" w:line="162" w:lineRule="exact"/>
              <w:rPr>
                <w:sz w:val="20"/>
                <w:szCs w:val="20"/>
                <w:color w:val="auto"/>
              </w:rPr>
            </w:pPr>
            <w:r>
              <w:rPr>
                <w:rFonts w:ascii="Times New Roman" w:cs="Times New Roman" w:eastAsia="Times New Roman" w:hAnsi="Times New Roman"/>
                <w:sz w:val="15"/>
                <w:szCs w:val="15"/>
                <w:color w:val="auto"/>
              </w:rPr>
              <w:t>1,588</w:t>
            </w:r>
            <w:r>
              <w:rPr>
                <w:rFonts w:ascii="Times New Roman" w:cs="Times New Roman" w:eastAsia="Times New Roman" w:hAnsi="Times New Roman"/>
                <w:sz w:val="11"/>
                <w:szCs w:val="11"/>
                <w:color w:val="auto"/>
              </w:rPr>
              <w:t>(4)</w:t>
            </w:r>
          </w:p>
        </w:tc>
        <w:tc>
          <w:tcPr>
            <w:tcW w:w="1460" w:type="dxa"/>
            <w:vAlign w:val="bottom"/>
            <w:gridSpan w:val="2"/>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239,423</w:t>
            </w:r>
          </w:p>
        </w:tc>
        <w:tc>
          <w:tcPr>
            <w:tcW w:w="162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4,766</w:t>
            </w:r>
            <w:r>
              <w:rPr>
                <w:rFonts w:ascii="Times New Roman" w:cs="Times New Roman" w:eastAsia="Times New Roman" w:hAnsi="Times New Roman"/>
                <w:sz w:val="11"/>
                <w:szCs w:val="11"/>
                <w:color w:val="auto"/>
              </w:rPr>
              <w:t>(4)</w:t>
            </w:r>
          </w:p>
        </w:tc>
        <w:tc>
          <w:tcPr>
            <w:tcW w:w="104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718,570</w:t>
            </w:r>
          </w:p>
        </w:tc>
        <w:tc>
          <w:tcPr>
            <w:tcW w:w="0" w:type="dxa"/>
            <w:vAlign w:val="bottom"/>
          </w:tcPr>
          <w:p>
            <w:pPr>
              <w:spacing w:after="0"/>
              <w:rPr>
                <w:sz w:val="1"/>
                <w:szCs w:val="1"/>
                <w:color w:val="auto"/>
              </w:rPr>
            </w:pPr>
          </w:p>
        </w:tc>
      </w:tr>
      <w:tr>
        <w:trPr>
          <w:trHeight w:val="162"/>
        </w:trPr>
        <w:tc>
          <w:tcPr>
            <w:tcW w:w="32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23"/>
              <w:spacing w:after="0" w:line="162" w:lineRule="exact"/>
              <w:rPr>
                <w:sz w:val="20"/>
                <w:szCs w:val="20"/>
                <w:color w:val="auto"/>
              </w:rPr>
            </w:pPr>
            <w:r>
              <w:rPr>
                <w:rFonts w:ascii="Times New Roman" w:cs="Times New Roman" w:eastAsia="Times New Roman" w:hAnsi="Times New Roman"/>
                <w:sz w:val="15"/>
                <w:szCs w:val="15"/>
                <w:color w:val="auto"/>
              </w:rPr>
              <w:t>3,500</w:t>
            </w:r>
            <w:r>
              <w:rPr>
                <w:rFonts w:ascii="Times New Roman" w:cs="Times New Roman" w:eastAsia="Times New Roman" w:hAnsi="Times New Roman"/>
                <w:sz w:val="11"/>
                <w:szCs w:val="11"/>
                <w:color w:val="auto"/>
              </w:rPr>
              <w:t>(5)</w:t>
            </w:r>
          </w:p>
        </w:tc>
        <w:tc>
          <w:tcPr>
            <w:tcW w:w="1460" w:type="dxa"/>
            <w:vAlign w:val="bottom"/>
            <w:gridSpan w:val="2"/>
            <w:shd w:val="clear" w:color="auto" w:fill="CCEEFF"/>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527,695</w:t>
            </w:r>
          </w:p>
        </w:tc>
        <w:tc>
          <w:tcPr>
            <w:tcW w:w="162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7,000</w:t>
            </w:r>
            <w:r>
              <w:rPr>
                <w:rFonts w:ascii="Times New Roman" w:cs="Times New Roman" w:eastAsia="Times New Roman" w:hAnsi="Times New Roman"/>
                <w:sz w:val="11"/>
                <w:szCs w:val="11"/>
                <w:color w:val="auto"/>
              </w:rPr>
              <w:t>(5)</w:t>
            </w:r>
          </w:p>
        </w:tc>
        <w:tc>
          <w:tcPr>
            <w:tcW w:w="10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1,055,390</w:t>
            </w:r>
          </w:p>
        </w:tc>
        <w:tc>
          <w:tcPr>
            <w:tcW w:w="0" w:type="dxa"/>
            <w:vAlign w:val="bottom"/>
          </w:tcPr>
          <w:p>
            <w:pPr>
              <w:spacing w:after="0"/>
              <w:rPr>
                <w:sz w:val="1"/>
                <w:szCs w:val="1"/>
                <w:color w:val="auto"/>
              </w:rPr>
            </w:pPr>
          </w:p>
        </w:tc>
      </w:tr>
      <w:tr>
        <w:trPr>
          <w:trHeight w:val="162"/>
        </w:trPr>
        <w:tc>
          <w:tcPr>
            <w:tcW w:w="544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Matthew R. Fuchsen</w:t>
            </w:r>
          </w:p>
        </w:tc>
        <w:tc>
          <w:tcPr>
            <w:tcW w:w="1460" w:type="dxa"/>
            <w:vAlign w:val="bottom"/>
            <w:gridSpan w:val="2"/>
          </w:tcPr>
          <w:p>
            <w:pPr>
              <w:jc w:val="right"/>
              <w:ind w:right="523"/>
              <w:spacing w:after="0" w:line="162" w:lineRule="exact"/>
              <w:rPr>
                <w:sz w:val="20"/>
                <w:szCs w:val="20"/>
                <w:color w:val="auto"/>
              </w:rPr>
            </w:pPr>
            <w:r>
              <w:rPr>
                <w:rFonts w:ascii="Times New Roman" w:cs="Times New Roman" w:eastAsia="Times New Roman" w:hAnsi="Times New Roman"/>
                <w:sz w:val="15"/>
                <w:szCs w:val="15"/>
                <w:color w:val="auto"/>
              </w:rPr>
              <w:t>3,373</w:t>
            </w:r>
            <w:r>
              <w:rPr>
                <w:rFonts w:ascii="Times New Roman" w:cs="Times New Roman" w:eastAsia="Times New Roman" w:hAnsi="Times New Roman"/>
                <w:sz w:val="11"/>
                <w:szCs w:val="11"/>
                <w:color w:val="auto"/>
              </w:rPr>
              <w:t>(6)</w:t>
            </w:r>
          </w:p>
        </w:tc>
        <w:tc>
          <w:tcPr>
            <w:tcW w:w="1460" w:type="dxa"/>
            <w:vAlign w:val="bottom"/>
            <w:gridSpan w:val="2"/>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508,547</w:t>
            </w:r>
          </w:p>
        </w:tc>
        <w:tc>
          <w:tcPr>
            <w:tcW w:w="1620" w:type="dxa"/>
            <w:vAlign w:val="bottom"/>
            <w:gridSpan w:val="2"/>
          </w:tcPr>
          <w:p>
            <w:pPr>
              <w:ind w:left="6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320" w:type="dxa"/>
            <w:vAlign w:val="bottom"/>
            <w:shd w:val="clear" w:color="auto" w:fill="CCEEFF"/>
          </w:tcPr>
          <w:p>
            <w:pPr>
              <w:spacing w:after="0"/>
              <w:rPr>
                <w:sz w:val="14"/>
                <w:szCs w:val="14"/>
                <w:color w:val="auto"/>
              </w:rPr>
            </w:pPr>
          </w:p>
        </w:tc>
        <w:tc>
          <w:tcPr>
            <w:tcW w:w="5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523"/>
              <w:spacing w:after="0" w:line="162" w:lineRule="exact"/>
              <w:rPr>
                <w:sz w:val="20"/>
                <w:szCs w:val="20"/>
                <w:color w:val="auto"/>
              </w:rPr>
            </w:pPr>
            <w:r>
              <w:rPr>
                <w:rFonts w:ascii="Times New Roman" w:cs="Times New Roman" w:eastAsia="Times New Roman" w:hAnsi="Times New Roman"/>
                <w:sz w:val="15"/>
                <w:szCs w:val="15"/>
                <w:color w:val="auto"/>
              </w:rPr>
              <w:t>2,312</w:t>
            </w:r>
            <w:r>
              <w:rPr>
                <w:rFonts w:ascii="Times New Roman" w:cs="Times New Roman" w:eastAsia="Times New Roman" w:hAnsi="Times New Roman"/>
                <w:sz w:val="11"/>
                <w:szCs w:val="11"/>
                <w:color w:val="auto"/>
              </w:rPr>
              <w:t>(7)</w:t>
            </w:r>
          </w:p>
        </w:tc>
        <w:tc>
          <w:tcPr>
            <w:tcW w:w="1460" w:type="dxa"/>
            <w:vAlign w:val="bottom"/>
            <w:gridSpan w:val="2"/>
            <w:shd w:val="clear" w:color="auto" w:fill="CCEEFF"/>
          </w:tcPr>
          <w:p>
            <w:pPr>
              <w:jc w:val="right"/>
              <w:ind w:right="700"/>
              <w:spacing w:after="0" w:line="162" w:lineRule="exact"/>
              <w:rPr>
                <w:sz w:val="20"/>
                <w:szCs w:val="20"/>
                <w:color w:val="auto"/>
              </w:rPr>
            </w:pPr>
            <w:r>
              <w:rPr>
                <w:rFonts w:ascii="Times New Roman" w:cs="Times New Roman" w:eastAsia="Times New Roman" w:hAnsi="Times New Roman"/>
                <w:sz w:val="15"/>
                <w:szCs w:val="15"/>
                <w:color w:val="auto"/>
              </w:rPr>
              <w:t>348,580</w:t>
            </w:r>
          </w:p>
        </w:tc>
        <w:tc>
          <w:tcPr>
            <w:tcW w:w="1620" w:type="dxa"/>
            <w:vAlign w:val="bottom"/>
            <w:gridSpan w:val="2"/>
            <w:shd w:val="clear" w:color="auto" w:fill="CCEEFF"/>
          </w:tcPr>
          <w:p>
            <w:pPr>
              <w:jc w:val="right"/>
              <w:ind w:right="580"/>
              <w:spacing w:after="0" w:line="162" w:lineRule="exact"/>
              <w:rPr>
                <w:sz w:val="20"/>
                <w:szCs w:val="20"/>
                <w:color w:val="auto"/>
              </w:rPr>
            </w:pPr>
            <w:r>
              <w:rPr>
                <w:rFonts w:ascii="Times New Roman" w:cs="Times New Roman" w:eastAsia="Times New Roman" w:hAnsi="Times New Roman"/>
                <w:sz w:val="15"/>
                <w:szCs w:val="15"/>
                <w:color w:val="auto"/>
              </w:rPr>
              <w:t>6,934</w:t>
            </w:r>
            <w:r>
              <w:rPr>
                <w:rFonts w:ascii="Times New Roman" w:cs="Times New Roman" w:eastAsia="Times New Roman" w:hAnsi="Times New Roman"/>
                <w:sz w:val="11"/>
                <w:szCs w:val="11"/>
                <w:color w:val="auto"/>
              </w:rPr>
              <w:t>(7)</w:t>
            </w:r>
          </w:p>
        </w:tc>
        <w:tc>
          <w:tcPr>
            <w:tcW w:w="10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1,045,439</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460" w:type="dxa"/>
            <w:vAlign w:val="bottom"/>
            <w:gridSpan w:val="2"/>
          </w:tcPr>
          <w:p>
            <w:pPr>
              <w:jc w:val="right"/>
              <w:ind w:right="523"/>
              <w:spacing w:after="0"/>
              <w:rPr>
                <w:sz w:val="20"/>
                <w:szCs w:val="20"/>
                <w:color w:val="auto"/>
              </w:rPr>
            </w:pPr>
            <w:r>
              <w:rPr>
                <w:rFonts w:ascii="Times New Roman" w:cs="Times New Roman" w:eastAsia="Times New Roman" w:hAnsi="Times New Roman"/>
                <w:sz w:val="15"/>
                <w:szCs w:val="15"/>
                <w:color w:val="auto"/>
              </w:rPr>
              <w:t>3,264</w:t>
            </w:r>
            <w:r>
              <w:rPr>
                <w:rFonts w:ascii="Times New Roman" w:cs="Times New Roman" w:eastAsia="Times New Roman" w:hAnsi="Times New Roman"/>
                <w:sz w:val="11"/>
                <w:szCs w:val="11"/>
                <w:color w:val="auto"/>
              </w:rPr>
              <w:t>(8)</w:t>
            </w: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color w:val="auto"/>
              </w:rPr>
              <w:t>492,113</w:t>
            </w:r>
          </w:p>
        </w:tc>
        <w:tc>
          <w:tcPr>
            <w:tcW w:w="162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6,527</w:t>
            </w:r>
            <w:r>
              <w:rPr>
                <w:rFonts w:ascii="Times New Roman" w:cs="Times New Roman" w:eastAsia="Times New Roman" w:hAnsi="Times New Roman"/>
                <w:sz w:val="11"/>
                <w:szCs w:val="11"/>
                <w:color w:val="auto"/>
              </w:rPr>
              <w:t>(8)</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984,076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4" w:lineRule="exact"/>
        <w:rPr>
          <w:sz w:val="20"/>
          <w:szCs w:val="20"/>
          <w:color w:val="auto"/>
        </w:rPr>
      </w:pPr>
    </w:p>
    <w:p>
      <w:pPr>
        <w:ind w:left="424" w:hanging="424"/>
        <w:spacing w:after="0" w:line="255"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time-based RSUs awarded to the NEOs. This column also reflects PSUs that were outstanding at fiscal year end for which the performance period completed on January 3, 2026 based on their actual performance. Market value is computed by multiplying the total number of shares subject to the award by the closing price of Middleby common stock of $150.77 per share on January 2, 2026, Middleby’s last trading day of fiscal year 2025.</w:t>
      </w:r>
    </w:p>
    <w:p>
      <w:pPr>
        <w:spacing w:after="0" w:line="2"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performance-based PSUs awarded to the NEOs. Market value is computed by multiplying the total number of shares subject to the award as reported in the column immediately to the left by the closing price of Middleby common stock of $150.77 per share on January 2, 2026. The PSUs included in this column and the column immediately to the left are included assuming target performance levels, because performance for such PSUs was tracking between threshold and target performance as of January 3, 2026.</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9, 2023, Mr. Salman was awarded (i) 4,334 target number of PSUs that included potential for maximum vesting of 11,270 PSUs, and</w:t>
      </w:r>
    </w:p>
    <w:p>
      <w:pPr>
        <w:spacing w:after="0" w:line="9" w:lineRule="exact"/>
        <w:rPr>
          <w:rFonts w:ascii="Times New Roman" w:cs="Times New Roman" w:eastAsia="Times New Roman" w:hAnsi="Times New Roman"/>
          <w:sz w:val="18"/>
          <w:szCs w:val="18"/>
          <w:color w:val="auto"/>
        </w:rPr>
      </w:pPr>
    </w:p>
    <w:p>
      <w:pPr>
        <w:ind w:left="424" w:firstLine="8"/>
        <w:spacing w:after="0" w:line="250" w:lineRule="auto"/>
        <w:tabs>
          <w:tab w:leader="none" w:pos="68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2,166 RSUs. The RSUs are scheduled to vest in 1/3 increments on each of March 1, 2024, March 1, 2025 and March 1, 2026. 722 RSUs vested on each of March 1, 2024 and March 1, 2025. The PSU component of the award provides that shares may be earned based on the achievement of Adjusted EPS growth and EV growth per share performance targets with respect to the January 1, 2023 to January 3, 2026 performance period.</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2024, Mr. Salman was awarded (i) 4,766 target number of PSUs that included potential for maximum vesting of 12,392 PSUs, and</w:t>
      </w:r>
    </w:p>
    <w:p>
      <w:pPr>
        <w:spacing w:after="0" w:line="9" w:lineRule="exact"/>
        <w:rPr>
          <w:rFonts w:ascii="Times New Roman" w:cs="Times New Roman" w:eastAsia="Times New Roman" w:hAnsi="Times New Roman"/>
          <w:sz w:val="18"/>
          <w:szCs w:val="18"/>
          <w:color w:val="auto"/>
        </w:rPr>
      </w:pPr>
    </w:p>
    <w:p>
      <w:pPr>
        <w:ind w:left="424" w:firstLine="8"/>
        <w:spacing w:after="0" w:line="250" w:lineRule="auto"/>
        <w:tabs>
          <w:tab w:leader="none" w:pos="68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2,384 RSUs. The RSUs are scheduled to vest in 1/3 increments on each of March 1, 2025, March 1, 2026 and March 1, 2027. 796 RSUs vested on March 1, 2025. The PSU component of the award provides that shares may be earned based on the achievement of Adjusted EPS growth and EV growth per share performance targets with respect to the December 31, 2023 to January 2, 2027 performance period.</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2025, Mr. Salman was awarded (i) 7,000 target number of PSUs that included potential for maximum vesting of 18,200 PSUs, and</w:t>
      </w:r>
    </w:p>
    <w:p>
      <w:pPr>
        <w:spacing w:after="0" w:line="9" w:lineRule="exact"/>
        <w:rPr>
          <w:rFonts w:ascii="Times New Roman" w:cs="Times New Roman" w:eastAsia="Times New Roman" w:hAnsi="Times New Roman"/>
          <w:sz w:val="18"/>
          <w:szCs w:val="18"/>
          <w:color w:val="auto"/>
        </w:rPr>
      </w:pPr>
    </w:p>
    <w:p>
      <w:pPr>
        <w:ind w:left="424" w:right="260" w:firstLine="8"/>
        <w:spacing w:after="0" w:line="250" w:lineRule="auto"/>
        <w:tabs>
          <w:tab w:leader="none" w:pos="68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 RSUs. The RSUs are scheduled to vest in 1/3 increments on each of March 1, 2026, March 1, 2027 and March 1, 2028. The PSU component of the award provides that shares may be earned based on the achievement of Adjusted EPS growth and Return on Invested Capital performance targets with respect to the December 29, 2024 to January 1, 2028 performance period, subject to a TSR modifier for the three-year performance period, and is scheduled to vest in the first quarter of fiscal year 2028.</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9, 2023, Mr. Fuchsen was awarded (i) 6,166 target number of PSUs that included potential for maximum vesting of 16,032 PSUs, and</w:t>
      </w:r>
    </w:p>
    <w:p>
      <w:pPr>
        <w:spacing w:after="0" w:line="9" w:lineRule="exact"/>
        <w:rPr>
          <w:rFonts w:ascii="Times New Roman" w:cs="Times New Roman" w:eastAsia="Times New Roman" w:hAnsi="Times New Roman"/>
          <w:sz w:val="18"/>
          <w:szCs w:val="18"/>
          <w:color w:val="auto"/>
        </w:rPr>
      </w:pPr>
    </w:p>
    <w:p>
      <w:pPr>
        <w:ind w:left="424" w:right="380" w:firstLine="8"/>
        <w:spacing w:after="0" w:line="253" w:lineRule="auto"/>
        <w:tabs>
          <w:tab w:leader="none" w:pos="68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 RSUs. The RSUs are scheduled to vest in 1/3 increments on each of March 1, 2024, March 1, 2025 and March 1, 2026. 1,028 RSUs vested on each of March 1, 2024 and March 1, 2025. The PSU component of the award provides that shares may be earned based on the achievement of Adjusted EPS growth and EV growth per share performance targets with respect to the January 1, 2023 to January 3, 2026 performance period.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24"/>
          </w:cols>
          <w:pgMar w:left="436" w:top="266" w:right="439" w:bottom="1440" w:gutter="0" w:footer="0" w:header="0"/>
        </w:sectPr>
      </w:pPr>
    </w:p>
    <w:bookmarkStart w:id="137" w:name="page138"/>
    <w:bookmarkEnd w:id="137"/>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May 14, 2024, Mr. Fuchsen was awarded (i) 6,934 target number of PSUs that included potential for maximum vesting of 18,030 PSUs, and</w:t>
      </w:r>
    </w:p>
    <w:p>
      <w:pPr>
        <w:spacing w:after="0" w:line="27" w:lineRule="exact"/>
        <w:rPr>
          <w:rFonts w:ascii="Times New Roman" w:cs="Times New Roman" w:eastAsia="Times New Roman" w:hAnsi="Times New Roman"/>
          <w:sz w:val="18"/>
          <w:szCs w:val="18"/>
          <w:color w:val="auto"/>
        </w:rPr>
      </w:pPr>
    </w:p>
    <w:p>
      <w:pPr>
        <w:ind w:left="424" w:firstLine="8"/>
        <w:spacing w:after="0" w:line="250" w:lineRule="auto"/>
        <w:tabs>
          <w:tab w:leader="none" w:pos="68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3,467 RSUs. The RSUs are scheduled to vest in 1/3 increments on each of March 1, 2025, March 1, 2026 and March 1, 2027. 1,155 RSUs vested on March 1, 2025. The PSU component of the award provides that shares may be earned based on the achievement of Adjusted EPS growth and EV growth per share performance targets with respect to the December 31, 2023 to January 2, 2027 performance period.</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2025, Mr. Fuchsen was awarded (i) 6,527 target number of PSUs that included potential for maximum vesting of 16,971 PSUs, and</w:t>
      </w:r>
    </w:p>
    <w:p>
      <w:pPr>
        <w:spacing w:after="0" w:line="9" w:lineRule="exact"/>
        <w:rPr>
          <w:rFonts w:ascii="Times New Roman" w:cs="Times New Roman" w:eastAsia="Times New Roman" w:hAnsi="Times New Roman"/>
          <w:sz w:val="18"/>
          <w:szCs w:val="18"/>
          <w:color w:val="auto"/>
        </w:rPr>
      </w:pPr>
    </w:p>
    <w:p>
      <w:pPr>
        <w:ind w:left="424" w:right="260" w:firstLine="8"/>
        <w:spacing w:after="0" w:line="253" w:lineRule="auto"/>
        <w:tabs>
          <w:tab w:leader="none" w:pos="68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3,264 RSUs. The RSUs are scheduled to vest in 1/3 increments on each of March 1, 2026, March 1, 2027 and March 1, 2028. The PSU component of the award provides that shares may be earned based on the achievement of Adjusted EPS growth and Return on Invested Capital performance targets with respect to the December 29, 2024 to January 1, 2028 performance period, subject to a TSR modifier for the three-year performance period, and is scheduled to vest in the first quarter of fiscal year 2028.</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Employment Agreements with Our Named Executive Officers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Mark M. Salman</w:t>
      </w:r>
    </w:p>
    <w:p>
      <w:pPr>
        <w:spacing w:after="0" w:line="121"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We anticipate entering into an employment agreement with Mark M. Salman, who will serve as our Chief Executive Officer following the spin-off (the “Salman Agreement”). The Salman Agreement, which has an initial term ending on the third anniversary of the effective date of the spin-off, provides Mr. Salman with a base salary of $750,000 and eligibility to participate in our management incentive programs.</w:t>
      </w:r>
    </w:p>
    <w:p>
      <w:pPr>
        <w:spacing w:after="0" w:line="176"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Under the Salman Agreement, Mr. Salman’s employment may be terminated by us or by Mr. Salman at any time. If we terminate Mr. Salman’s employment without “cause” (as defined in the Salman Agreement), or if Mr. Salman resigns his employment due to a material diminution of his duties as Chief Executive Officer, under the terms of the Salman Agreement, Mr. Salman will be entitled to (i) a lump sum payment equal to two times (or three times in the event of a termination occurring within 24 months of a change of control) the sum of: (A) his annual base salary as in effect immediately prior to the date of termination and (B) the amount of his target annual incentive bonus for the performance period in which the termination occurs and (ii) health care continuation coverage under any medical, dental, vision, disability and life insurance program or policy maintained by us for 18 months. In the event that Mr. Salman’s employment is terminated by us without cause or due to his death or disability, or if Mr. Salman terminates his employment with us due to a material diminishment in the duties assigned to him by us, to the extent that incentive compensation would be earned and payable under any of our annual incentive program(s) had Mr. Salman remained employed on the last day of the fiscal year of termination, Mr. Salman will be entitled to receive a pro-rated payment based on the number of days he was employed during the fiscal year of termination. The benefits pursuant to the Salman Agreement shall not be provided to Mr. Salman to the extent they would result in duplication of benefits with respect to the severance benefits to which Mr. Salman would be entitled under the ESP.</w:t>
      </w:r>
    </w:p>
    <w:p>
      <w:pPr>
        <w:spacing w:after="0" w:line="190"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In the event that any amount payable to Mr. Salman is deemed under the Code to be made in connection with a change in control of the Company, and would result in imposition of an excise tax on “excess parachute payments” under the Code (the “Excise Tax”), the Salman Agreement provides that Mr. Salman’s payments will be reduced to an amount that would not result in the imposition of the Excise Tax, to the extent that such reduction would result in a greater after-tax benefit to Mr. Salman.</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Other NEO Arrangements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Spin-Off Incentive Grants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anticipate granting certain executive officers of SpinCo a one-time equity award with a target amount of (i) $1,500,000 for Mr. Salman and</w:t>
      </w:r>
    </w:p>
    <w:p>
      <w:pPr>
        <w:spacing w:after="0" w:line="27" w:lineRule="exact"/>
        <w:rPr>
          <w:sz w:val="20"/>
          <w:szCs w:val="20"/>
          <w:color w:val="auto"/>
        </w:rPr>
      </w:pPr>
    </w:p>
    <w:p>
      <w:pPr>
        <w:ind w:left="4" w:right="200" w:hanging="4"/>
        <w:spacing w:after="0" w:line="260" w:lineRule="auto"/>
        <w:tabs>
          <w:tab w:leader="none" w:pos="2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for each of Ms. Campbell, Mr. Fuchsen and Mr. Bowie. It is anticipated that 50% of each of these awards will be in the form of a time-based RSU grant that will vest in full</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24"/>
          </w:cols>
          <w:pgMar w:left="436" w:top="270" w:right="439" w:bottom="1440" w:gutter="0" w:footer="0" w:header="0"/>
        </w:sectPr>
      </w:pPr>
    </w:p>
    <w:bookmarkStart w:id="138" w:name="page139"/>
    <w:bookmarkEnd w:id="138"/>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July 2029, and the remaining 50% will be in the form of a PSU grant that will vest in March 2027 based on achievement of fiscal year 2026 organic revenue and organic adjusted EBITDA targets.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Long-Term Incentive Plan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the SpinCo Board to adopt, and Middleby, in its capacity as our sole stockholder, to approve, the SpinCo 2026 Long-Term Incentive Plan (the “LTIP”) for the benefit of certain of our current and future employees and other service providers, including our non-employee directors. Under the LTIP, we may grant cash and equity incentive awards to eligible service providers in order to attract, motivate, and retain the talent for which we compete. The material terms of the LTIP are summarized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 employees of SpinCo and its subsidiaries and affiliates are eligible to be selected as participants. The Company’s non-employee directors as well as non-employee service providers are also eligible to be selected for grants under the LTIP.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Grant; Individual Grant Limits</w:t>
      </w:r>
    </w:p>
    <w:p>
      <w:pPr>
        <w:spacing w:after="0" w:line="121"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LTIP provides that the SpinCo Board has authorized up to 3,000,000 shares of common stock for issuance under the LTIP. If a grant expires or is canceled, any shares which were not issued or fully vested under the grant at the time of expiration or cancellation will again be available for grants.</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shares of common stock used for the payment of required tax withholding amounts or the exercise price applicable to a grant shall count against the total number of shares available for issuance under the LTIP. Shares of common stock underlying grants that can only be settled in cash will not be counted against the aggregate number of shares available for grants under the LTIP.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common stock deliverable under the LTIP may consist in whole or in part of unissued shares or reacquired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number and kind of shares of common stock available for grants under the LTIP, the number and kind of shares of common stock issued in respect of outstanding grants, the exercise price, grant price or purchase price and any individual limitations applicable to grants are subject to adjustment if there are changes affecting the common stock, such as a merger, consolidation, stock dividend, split-up, combination or exchange of shares, recapitalization or change in capitalization with respect to the shares of common stock. Each such adjustment, however, with respect to incentive stock options shall be made in accordance with the provisions of Section 424(h) of the Code and any regulations or guidance promulgated thereunder; and no such adjustment shall cause any grant under the LTIP which is or becomes subject to Section 409A of the Code to fail to comply with the requirements of such section.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Repricing</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Except as required by the adjustment provision described above, the 2026 LTIP prohibits the repricing of stock options or stock appreciation rights either by amendment of an outstanding award grant or through the substitution of a new option award at a lower price, unless such action is approved by the stockholders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LTIP permits the grant of any or all of the following types of awards: (1) stock options, including incentive stock options and nonqualified stock options, (2) stock appreciation rights (“SARs”), in tandem with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139" w:name="page140"/>
    <w:bookmarkEnd w:id="139"/>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options or free-standing, (3) restricted stock and restricted stock units, (4) performance stock, (5) phantom units and (6) other equity-based awards, including dividend equivalents.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may be either “Incentive Stock Options,” as defined in Section 422 of the Code, or options not intended to be so qualified (“Nonqualified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The SpinCo Board may grant more than one option to a participant during the life of the LTIP, and such option may be in addition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or options previously granted. However, the aggregate fair market value of stock with respect to which Incentive Stock Options are exercisable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time by such individual during any calendar year (under all stock option plans of the Company and its subsidiaries) may not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Incentive Stock Options may not be granted at less than 100% of the fair market value of the shares on the date of grant. However,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 is granted to an individual who owns more than 10% of the total combined voting power of all classes of stock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actually or constructively under Section 424 of the Code, the exercise price shall be at least 110% of the fair market value of the stock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on the date of grant. Incentive Stock Options may only be granted to eligible employees.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LTIP also provides that Nonqualified Options may not be granted at less than 100% of the fair market value of shares on the date of grant.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Options granted pursuant to the LTIP will generally be transferable only by will or by laws governing descent and distribution, and during the lifetime of an optionee, will be exercisable only by the optionee. However, subject to the approval of the SpinCo Board, the LTIP provides that an option may be transferable, as permitted under the Exchange Act, as long as: (i) such transfers are made to one or more (A) family members of the optionee, including the children, spouse or grandchildren of the optionee, (B) trusts for such family members or (C) charities (“Transferees”); (ii) such transfer is a bona fide gift and, accordingly, the optionee receives no consideration for the transfer; and (iii) the options transferred continue to be subject to the same terms and conditions that were applicable to the options immediately prior to the transfer. In the event of such a transfer, the Transferee may not subsequently transfer such option. However, the designation of a beneficiary will not constitute a transfer.</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Unless otherwise provided in a stock option award agreement, no option will be exercisable following three months after termination of employment with the Company (or such shorter or longer period as the option may provide) unless such termination of employment occurs by reason of disability or death. In the event of the disability or death of an optionee while employed or in service of the Company or any subsidiary of the Company, the options or unexercisable portions thereof, to the extent exercisable on the date of disability or death, shall be exercisable for a period not to exceed the expiration of one year from the date of disability or death, subject to the terms of the stock option agreement. In no event, however, shall an option be exercisable after the expiration of ten years from the date such option was granted (five years in the case of Incentive Stock Options granted to an optionee owning more than 10% of the voting power of stock of the Company), or beyond the term for which it was granted.</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Payment for shares of common stock purchased upon exercise of an option granted under the LTIP shall be made in full at the time of such exercise, in cash or in shares of common stock (valued at fair market value), or in a combination of cash and shares of common stock, or by such other methods as may be approved by the Compensation Committee (as defined in the LTIP).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 (“SARs”)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SAR represents the right to receive, upon exercise, a payment which is equal to the increase (if any) in the fair market value of a share of common stock between the date of grant and the date of exercise. The payment for the increase in value may be made in the form of common stock, cash or in a combination of common stock and cash. The exercise price of a SAR may not be less than the fair market value per share of common stock on the date of grant.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140" w:name="page141"/>
    <w:bookmarkEnd w:id="14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SAR may be granted free-standing or in tandem with new options. However, a SAR which is issued in tandem with an Incentive Stock Option will be subject to the following rules: (i) it will expire no later than at the expiration of the Incentive Stock Option; (ii) payment under the SAR will not exceed 100% of the difference between the exercise price of the option and the fair market value of stock on the date the SAR is exercised; (iii) it will be transferable only when the option is transferable, and under the same conditions; (iv) it will be exercisable only when the option is exercisable; and (v) it may only be exercised when the fair market value of the Company’s stock exceeds the exercise price of the option. Subject to applicable law, payment by the Company upon exercise of a SAR will be in cash, stock or any combination thereof as the SpinCo Board shall determine.</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Unless otherwise provided in an award agreement, no SAR will be exercisable following three months after termination of employment with the Company (or such shorter or longer period as the SAR may provide) unless such termination of employment occurs by reason of disability or death. In the event of the disability or death of the grantee while employed or in service of the Company or any subsidiary of the Company, the SAR or unexercisable portion thereof, to the extent exercisable on the date of disability or death, shall be exercisable for a period not to exceed the expiration of one year from the date of disability or death, subject to the terms of the award agreement. In no event, however, shall a SAR be exercisable after the expiration of ten years from the date such SAR was granted.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LTIP provides that each grant of restricted stock or restricted stock units shall include a description of the restrictions applicable to the grant and the conditions on which the restrictions may be removed. Each grant will also provide whether the recipient must pay any amount in connection with the grant and, if so, the amount and terms of the payment. Restricted stock units give the grantee the right to acquire a specified number of shares of stock, or in the Compensation Committee’s discretion, the equivalent value in cash, at a future date upon the satisfaction of certain vesting conditions based upon a vesting schedule or performance criteria established by the administrator. Unlike restricted stock, the stock underlying stock units will not be issued until the stock units have vested, and the grantee of restricted stock units generally will have no voting or dividend rights prior to the time the vesting conditions are satisfied. Additionally, each grant will provide for treatment upon the participant’s termination of employment or service with the Company, or upon a change of control of the Company.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LTIP provides that each grant of performance stock shall include a description of any applicable provisions relating to the performance period and performance goals. In general, performance stock awards offer certain employees or non-employee directors the potential for substantial financial incentives based on continued service and the achievement of long-term Company performance goals, but in a manner that also places such individuals’ compensation at risk in the event of poor Company performance. Additionally, each grant will provide for treatment upon the participant’s termination of employment or service with the Company, or upon a change of control of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Goals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noted above, performance criteria established by the Compensation Committee may include or relate to stock price, earnings per share before or after extraordinary items, earnings before interest, taxes, depreciation, amortization or extraordinary items, return on equity (gross or net), before or after extraordinary items, net income, earnings before any or all of interest, taxes, minority interest, depreciation and amortization, sales or revenue, return on assets, capital or investment, invested capital, expense reduction goals, implementation or completion of critical projects or processes, cash flow measures, profit or margins, achievement of strategic goals, performance of the Company’s sales force or product line, economic value added (net operating profit after tax minus the sum of capital multiplied by the cost of capital), operating measures (including, but not limited to, productivity, efficiency and quality) or any combination of, or a specified increase in, any of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80"/>
          </w:cols>
          <w:pgMar w:left="440" w:top="270" w:right="479" w:bottom="1440" w:gutter="0" w:footer="0" w:header="0"/>
        </w:sectPr>
      </w:pPr>
    </w:p>
    <w:bookmarkStart w:id="141" w:name="page142"/>
    <w:bookmarkEnd w:id="141"/>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In addition, performance goals may be based on one or more business criteria, one or more business units, divisions, products or geographic areas of the Company, its subsidiaries or affiliates or the Company as a whole, and, if so desired by the Compensation Committee, by comparison with a peer group of companies. A performance goal need not be based upon an increase or positive result under a particular business criterion and could include, for example, maintaining the status quo or limiting economic losses (measured, in each case, by reference to specific business criteria). As determined in the sole discretion of the Compensation Committee, the performance goals for any performance period may be measured on an absolute basis or in relation to a pre-established target, prior year’s results or a peer group or an index.</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Compensation Committee also has the authority in its sole discretion to make equitable adjustments as it deems necessary to reflect the impact of extraordinary items not reflected in performance goals, including but not limited to profits or loss attributable to acquisitions or dispositions of stock or assets, intangibles/goodwill amortization charges attributable to acquisitions or dispositions of stock or assets, changes in accounting standards, items of gain, loss or expense related to restructuring charges, items of gain, loss or expense determined to be extraordinary or unusual in nature or infrequent in occurrence or related to the disposal of a segment of a business, items of gain, loss or expense for the year related to discontinued operations, capital expenditures, share repurchases and other changes in the number of outstanding shares, fees and expenses associated with a business transaction such as investment banking fees and/or legal, accounting or tax planning fees, and charges or amortization related to intangibles/goodwill. The performance goals may include a threshold level of performance below which no compensation will be earned, levels of performance at which specified compensation will be earned, and a maximum level of performance beyond which no additional compensation will be earned.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Units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LTIP provides that each grant of phantom units, subject to Section 409A of the Code, shall include a description of the restrictions applicable to the grant and the conditions on which the restrictions may be removed, including vesting dates. Additionally, each grant will contain provisions for treatment upon the participant’s termination of employment or service with the Company, or upon a change of control of the Company. The terms of each grant of phantom units shall include the number of shares of common stock underlying the grant, or in the case of phantom units denominated in cash, the amount of cash represented by each phantom unit. Upon vesting, unless otherwise provided at the time of grant, a grant of phantom units denominated in shares of common stock will be settled for a per-unit value equal to (1) the fair market value of a share of common stock on the vesting date, plus (2) the aggregate amount of cash dividends paid on a share of common stock for the period beginning on the grant date and ending on the vesting date. Payment may be made in cash, common stock or a combination thereof as determined by the Compensation Committee.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Equity-Based Awards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LTIP provides that other forms of grants valued by reference to or otherwise based on common stock, including dividend equivalents, may be granted alone or in addition to other LTIP grants (except for stock options and SARs), and subject to such vesting conditions (including performance goal achievement) as determined in the sole discretion of the SpinCo Board, subject to the terms of the LTIP.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or Termination of the Plan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SpinCo Board may suspend, amend or terminate the LTIP at any time and in such respects as it shall deem advisable, provided that stockholder approval will be required for any amendment that would (a) increase the aggregate number of shares available for issuance under the LTIP, (b) extend the term of the LTIP, (c) materially expand the types of awards available under the LTIP, (d) change the categories of individuals eligible to participate in the LTIP, (e) delete or limit the LTIP’s provisions prohibiting repricing or (f) otherwise require stockholder approval in order to comply with applicable law or Nasdaq rules. The SpinCo Board may not amend or terminate the LTIP to the extent that such amendment or termination would adversely affect a participant’s rights pursuant to an outstanding grant without the consent of the participant.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initial SpinCo non-employee director compensation program is expected to be similar in structure to the existing Middleby director compensation program, and will be designed to provide competitive compensation that is necessary to attract and retain qualified non-management directors.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Stock Ownership Guidelines</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expect to adopt stock ownership guidelines that require our non-employee directors to own a prescribed amount of our common stock, which we anticipate will be expressed as five times their annual cash compensation. Unvested time-based restricted stock units (“RSUs”) count toward a non-employee director’s required holdings. New non-employee directors who have not yet met their stock ownership requirements are required to meet their stock ownership requirements within five years after becoming a non-employee director. Stock options are not counted in the ownership calculation.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Middleby Practice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Middleby believes that having highly qualified non-employee directors is critical to its success. Non-employee directors represent the interests of Middleby stockholders, and they contribute their experience and wisdom to guide the company, its strategy and its management. The Middleby Board believes that compensation for directors should reflect the work required in both their ongoing oversight and governance role and their continuous focus on driving long-term performance and stockholder value.</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Following the spin-off, we expect that our Compensation Committee will periodically review and make recommendations to the full SpinCo Board regarding the form and amount of compensation for non-employee directors. Directors who are also our employees are expected to receive no compensation for service on the SpinCo Board. We anticipate approving an initial director compensation program for the company that is designed to ensure that compensation for directors reflects the work required in both their ongoing oversight and governance role and their continuous focus on driving long-term performance and stockholder value.</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anticipate that non-employee director compensation will initially consist of cash and equity components. The following table shows the anticipated compensation structure. Directors will not receive meeting fees.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Type of compensation</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1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How paid</w:t>
            </w:r>
          </w:p>
        </w:tc>
        <w:tc>
          <w:tcPr>
            <w:tcW w:w="22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1"/>
        </w:trPr>
        <w:tc>
          <w:tcPr>
            <w:tcW w:w="242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Annual cash compensation</w:t>
            </w:r>
          </w:p>
        </w:tc>
        <w:tc>
          <w:tcPr>
            <w:tcW w:w="260" w:type="dxa"/>
            <w:vAlign w:val="bottom"/>
            <w:tcBorders>
              <w:top w:val="single" w:sz="8" w:color="CCEEFF"/>
            </w:tcBorders>
            <w:shd w:val="clear" w:color="auto" w:fill="CCEEFF"/>
          </w:tcPr>
          <w:p>
            <w:pPr>
              <w:spacing w:after="0"/>
              <w:rPr>
                <w:sz w:val="14"/>
                <w:szCs w:val="14"/>
                <w:color w:val="auto"/>
              </w:rPr>
            </w:pPr>
          </w:p>
        </w:tc>
        <w:tc>
          <w:tcPr>
            <w:tcW w:w="56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16"/>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every non-employee</w:t>
            </w:r>
          </w:p>
        </w:tc>
        <w:tc>
          <w:tcPr>
            <w:tcW w:w="2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63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paid in quarterly installments</w:t>
            </w:r>
          </w:p>
        </w:tc>
        <w:tc>
          <w:tcPr>
            <w:tcW w:w="2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$90,000</w:t>
            </w:r>
          </w:p>
        </w:tc>
      </w:tr>
      <w:tr>
        <w:trPr>
          <w:trHeight w:val="198"/>
        </w:trPr>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Additional cash compensation</w:t>
            </w:r>
          </w:p>
        </w:tc>
        <w:tc>
          <w:tcPr>
            <w:tcW w:w="2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Chairman of the Board</w:t>
            </w:r>
          </w:p>
        </w:tc>
        <w:tc>
          <w:tcPr>
            <w:tcW w:w="63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Cash, paid in quarterly installments</w:t>
            </w: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w:t>
            </w:r>
          </w:p>
        </w:tc>
      </w:tr>
      <w:tr>
        <w:trPr>
          <w:trHeight w:val="198"/>
        </w:trPr>
        <w:tc>
          <w:tcPr>
            <w:tcW w:w="2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Additional cash compensation</w:t>
            </w:r>
          </w:p>
        </w:tc>
        <w:tc>
          <w:tcPr>
            <w:tcW w:w="26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chairpersons of the</w:t>
            </w:r>
          </w:p>
        </w:tc>
        <w:tc>
          <w:tcPr>
            <w:tcW w:w="2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Audit Committee, the</w:t>
            </w:r>
          </w:p>
        </w:tc>
        <w:tc>
          <w:tcPr>
            <w:tcW w:w="2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Committee</w:t>
            </w:r>
          </w:p>
        </w:tc>
        <w:tc>
          <w:tcPr>
            <w:tcW w:w="2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the Nominating and</w:t>
            </w:r>
          </w:p>
        </w:tc>
        <w:tc>
          <w:tcPr>
            <w:tcW w:w="2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Governance</w:t>
            </w:r>
          </w:p>
        </w:tc>
        <w:tc>
          <w:tcPr>
            <w:tcW w:w="2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Committee</w:t>
            </w:r>
          </w:p>
        </w:tc>
        <w:tc>
          <w:tcPr>
            <w:tcW w:w="63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paid in quarterly installments</w:t>
            </w:r>
          </w:p>
        </w:tc>
        <w:tc>
          <w:tcPr>
            <w:tcW w:w="2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198"/>
        </w:trPr>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Additional cash compensation</w:t>
            </w:r>
          </w:p>
        </w:tc>
        <w:tc>
          <w:tcPr>
            <w:tcW w:w="2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Audit Committee,</w:t>
            </w:r>
          </w:p>
        </w:tc>
        <w:tc>
          <w:tcPr>
            <w:tcW w:w="2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 Committee</w:t>
            </w:r>
          </w:p>
        </w:tc>
        <w:tc>
          <w:tcPr>
            <w:tcW w:w="2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Nominating and</w:t>
            </w:r>
          </w:p>
        </w:tc>
        <w:tc>
          <w:tcPr>
            <w:tcW w:w="2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Governance</w:t>
            </w:r>
          </w:p>
        </w:tc>
        <w:tc>
          <w:tcPr>
            <w:tcW w:w="2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Committee members</w:t>
            </w:r>
          </w:p>
        </w:tc>
        <w:tc>
          <w:tcPr>
            <w:tcW w:w="63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Cash, paid in quarterly installments</w:t>
            </w: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198"/>
        </w:trPr>
        <w:tc>
          <w:tcPr>
            <w:tcW w:w="2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for every non-</w:t>
            </w:r>
          </w:p>
        </w:tc>
        <w:tc>
          <w:tcPr>
            <w:tcW w:w="26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75"/>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director</w:t>
            </w:r>
          </w:p>
        </w:tc>
        <w:tc>
          <w:tcPr>
            <w:tcW w:w="63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RSUs typically awarded in March of each year with a one-year vesting period</w:t>
            </w:r>
          </w:p>
        </w:tc>
        <w:tc>
          <w:tcPr>
            <w:tcW w:w="2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Aggregate value of $145,000</w:t>
            </w:r>
          </w:p>
        </w:tc>
      </w:tr>
      <w:tr>
        <w:trPr>
          <w:trHeight w:val="364"/>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80" w:type="dxa"/>
            <w:vAlign w:val="bottom"/>
            <w:gridSpan w:val="2"/>
          </w:tcPr>
          <w:p>
            <w:pPr>
              <w:jc w:val="right"/>
              <w:ind w:right="2588"/>
              <w:spacing w:after="0"/>
              <w:rPr>
                <w:sz w:val="20"/>
                <w:szCs w:val="20"/>
                <w:color w:val="auto"/>
              </w:rPr>
            </w:pPr>
            <w:r>
              <w:rPr>
                <w:rFonts w:ascii="Times New Roman" w:cs="Times New Roman" w:eastAsia="Times New Roman" w:hAnsi="Times New Roman"/>
                <w:sz w:val="18"/>
                <w:szCs w:val="18"/>
                <w:color w:val="auto"/>
              </w:rPr>
              <w:t>135</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43" w:name="page144"/>
    <w:bookmarkEnd w:id="143"/>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completion of the spin-off, we anticipate issuing to the non-employee directors serving on the SpinCo Board their first annual restricted stock unit grant, valued at $145,000, except that each of Mr. Nerbonne’s and Ms. McCarthy’s grant will be valued at $152,500 in recognition of their service on the Middleby Board prior to the spin-off, and each such grant to the non-employee directors serving on the SpinCo Board will be scheduled to vest in March 2027.</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Spin-Off–Related Non-Employee Director Awards</w:t>
      </w:r>
    </w:p>
    <w:p>
      <w:pPr>
        <w:spacing w:after="0" w:line="121"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Following completion of the spin-off, in addition to the annual restricted stock unit grants discussed above, we anticipate granting one-time “founder grant” awards of restricted stock units to the non-employee directors serving on our SpinCo Board. We anticipate the grants will be valued at an amount equal to (i) $100,000 for the Chairman of the SpinCo Board, (ii) $75,000 to Ms. McCarthy (in recognition of her efforts in effecting the spin-off),</w:t>
      </w:r>
    </w:p>
    <w:p>
      <w:pPr>
        <w:spacing w:after="0" w:line="2" w:lineRule="exact"/>
        <w:rPr>
          <w:sz w:val="20"/>
          <w:szCs w:val="20"/>
          <w:color w:val="auto"/>
        </w:rPr>
      </w:pPr>
    </w:p>
    <w:p>
      <w:pPr>
        <w:ind w:left="4" w:right="500" w:hanging="4"/>
        <w:spacing w:after="0" w:line="260" w:lineRule="auto"/>
        <w:tabs>
          <w:tab w:leader="none" w:pos="31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for the Audit Committee Chair of the SpinCo Board and (iv) $25,000 for each other member of the SpinCo Board. These awards are expected to vest immediately upon grant and be subject to a two-year holding period.</w:t>
      </w:r>
    </w:p>
    <w:p>
      <w:pPr>
        <w:spacing w:after="0" w:line="181"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Additionally, following completion of the spin-off, Middleby anticipates granting a one-time Middleby restricted stock unit award, valued at an amount equal to $75,000, to Sarah Palisi Chapin, the Nominating and Corporate Governance Committee Chair of the Middleby Board, in recognition of her efforts in effecting the spin-off. This award is expected to vest immediately upon grant and be subject to a two-year holding period.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984"/>
          </w:cols>
          <w:pgMar w:left="436" w:top="270" w:right="479" w:bottom="1440" w:gutter="0" w:footer="0" w:header="0"/>
        </w:sectPr>
      </w:pPr>
    </w:p>
    <w:bookmarkStart w:id="144" w:name="page145"/>
    <w:bookmarkEnd w:id="144"/>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RELATIONSHIPS AND RELATED TRANSACTIONS</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Procedures for Approval of Related Person Transactions</w:t>
      </w:r>
    </w:p>
    <w:p>
      <w:pPr>
        <w:spacing w:after="0" w:line="229" w:lineRule="exact"/>
        <w:rPr>
          <w:sz w:val="20"/>
          <w:szCs w:val="20"/>
          <w:color w:val="auto"/>
        </w:rPr>
      </w:pPr>
    </w:p>
    <w:p>
      <w:pPr>
        <w:ind w:left="4" w:right="260"/>
        <w:spacing w:after="0" w:line="276" w:lineRule="auto"/>
        <w:rPr>
          <w:sz w:val="20"/>
          <w:szCs w:val="20"/>
          <w:color w:val="auto"/>
        </w:rPr>
      </w:pPr>
      <w:r>
        <w:rPr>
          <w:rFonts w:ascii="Times New Roman" w:cs="Times New Roman" w:eastAsia="Times New Roman" w:hAnsi="Times New Roman"/>
          <w:sz w:val="17"/>
          <w:szCs w:val="17"/>
          <w:color w:val="auto"/>
        </w:rPr>
        <w:t>The SpinCo Board will establish related person transactions procedures to identify, review, approve and disclose, if necessary, any transaction, arrangement or relationship (or any series of similar transactions, arrangements or relationships) in which: (i) SpinCo was, is or will be a participant;</w:t>
      </w:r>
    </w:p>
    <w:p>
      <w:pPr>
        <w:spacing w:after="0" w:line="1" w:lineRule="exact"/>
        <w:rPr>
          <w:sz w:val="20"/>
          <w:szCs w:val="20"/>
          <w:color w:val="auto"/>
        </w:rPr>
      </w:pPr>
    </w:p>
    <w:p>
      <w:pPr>
        <w:ind w:left="264" w:hanging="264"/>
        <w:spacing w:after="0"/>
        <w:tabs>
          <w:tab w:leader="none" w:pos="2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involved exceeds or is expected to exceed $120,000; and (iii) a related person has or will have a direct or indirect material</w:t>
      </w:r>
    </w:p>
    <w:p>
      <w:pPr>
        <w:spacing w:after="0" w:line="9" w:lineRule="exact"/>
        <w:rPr>
          <w:rFonts w:ascii="Times New Roman" w:cs="Times New Roman" w:eastAsia="Times New Roman" w:hAnsi="Times New Roman"/>
          <w:sz w:val="18"/>
          <w:szCs w:val="18"/>
          <w:color w:val="auto"/>
        </w:rPr>
      </w:pPr>
    </w:p>
    <w:p>
      <w:pPr>
        <w:ind w:left="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For these purposes, a related person is: (i) any person who is, or at any time since the beginning of our last fiscal year was, one of our directors or executive officers or a nominee to become a director; (ii) any person who is known to be the beneficial owner of more than 5% of SpinCo common stock (or any other class of voting securities); or (iii) any immediate family member of any of the foregoing persons.</w:t>
      </w:r>
    </w:p>
    <w:p>
      <w:pPr>
        <w:spacing w:after="0" w:line="186"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The Audit Committee will be responsible for reviewing and approving any proposed transaction between SpinCo and any related person (other than transactions that are subject to review by the SpinCo Board as a whole or any other independent committee of the SpinCo Board). In fulfilling this responsibility, the Audit Committee will consider all of the relevant facts and circumstances available to the Audit Committee.</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Other than as described below, there have not been, nor are there currently proposed, any transactions or series of similar transactions meeting the above criteria to which we have been or will be a party other than compensation arrangements, which are described where required under the sections of this information statement entitled “Executive Compensation” and “Director Compensation”. If SpinCo enters into any related party transactions prior to the effectiveness of our registration statement, of which this information statement forms a part, a description of such arrangements will be included in an amendment to this information statement.</w:t>
      </w:r>
    </w:p>
    <w:p>
      <w:pPr>
        <w:spacing w:after="0" w:line="39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The Distribution from Middleby</w:t>
      </w:r>
    </w:p>
    <w:p>
      <w:pPr>
        <w:spacing w:after="0" w:line="229"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distribution will be accomplished by Middleby distributing all of its shares of SpinCo common stock to holders of Middleby common stock entitled to such distribution, as described in the section of this information statement entitled “The Separation and Distribution.” Completion of the distribution will be subject to satisfaction or waiver by Middleby of the conditions to the distribution, as described in the section of this information statement entitled “The Separation and Distribution—General—Conditions to the Distribution.”</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Material Agreements with Middleby</w:t>
      </w:r>
    </w:p>
    <w:p>
      <w:pPr>
        <w:spacing w:after="0" w:line="229" w:lineRule="exact"/>
        <w:rPr>
          <w:sz w:val="20"/>
          <w:szCs w:val="20"/>
          <w:color w:val="auto"/>
        </w:rPr>
      </w:pPr>
    </w:p>
    <w:p>
      <w:pPr>
        <w:jc w:val="both"/>
        <w:ind w:left="4" w:right="8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spin-off, Middleby and SpinCo will be independent companies. Middleby will not own any shares of SpinCo common stock, and we expect that the relationship between Middleby and SpinCo will be governed by the ancillary agreements. These agreements will provide for the allocation between SpinCo and Middleby of Middleby and SpinCo’s assets, employees, liabilities and obligations (including employee benefits and tax-related assets and liabilities) attributable to periods prior to, at and after the spin-off.</w:t>
      </w:r>
    </w:p>
    <w:p>
      <w:pPr>
        <w:spacing w:after="0" w:line="180"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material agreements described below are filed as exhibits to the registration statement on Form 10 of which this information statement is a part, and the summaries below set forth the current terms of the agreements that SpinCo believes are material. These summaries are qualified in their entireties by reference to the full text of the applicable agreements, which are incorporated by reference into this information statement. The terms of the agreements described below that will be in effect following the spin-off have not yet been finalized; changes to these agreements, some of which may be material, may be made prior to the spin-off.</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964"/>
          </w:cols>
          <w:pgMar w:left="436" w:top="266" w:right="4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Separation and Distribution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will set forth SpinCo’s agreement with Middleby regarding the principal transactions necessary to separate SpinCo from Middleby. It will also set forth other agreements that govern certain aspects of SpinCo’s relationship with Middleby after the completion of the distribution. The parties intend to enter into the separation and distribution agreement immediately before the distribution of SpinCo common stock to Middleby stockholders.</w:t>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Transfer of Assets and Assumption of Liabilities</w:t>
      </w:r>
      <w:r>
        <w:rPr>
          <w:rFonts w:ascii="Times New Roman" w:cs="Times New Roman" w:eastAsia="Times New Roman" w:hAnsi="Times New Roman"/>
          <w:sz w:val="18"/>
          <w:szCs w:val="18"/>
          <w:color w:val="auto"/>
        </w:rPr>
        <w:t>. The separation and distribution agreement will identify assets to be transferred to or retained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to be assumed or retained by, and contracts to be assigned to each of SpinCo and Middleby as part of the reorganization of Middleby, and will describe when and how these transfers, assumptions and assignments will occur, although many of the transfers, assumptions and assignments will have already occurred prior to the parties’ entering into the separation and distribution agreement. In particular, the separation and distribution agreement will provide that, subject to the terms and conditions contained in the separation and distribution agreement:</w:t>
      </w:r>
    </w:p>
    <w:p>
      <w:pPr>
        <w:spacing w:after="0" w:line="91" w:lineRule="exact"/>
        <w:rPr>
          <w:sz w:val="20"/>
          <w:szCs w:val="20"/>
          <w:color w:val="auto"/>
        </w:rPr>
      </w:pPr>
    </w:p>
    <w:p>
      <w:pPr>
        <w:ind w:left="960" w:right="180" w:hanging="424"/>
        <w:spacing w:after="0" w:line="256"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all assets primarily relating to the Food Processing business (“SpinCo Assets”) will be retained by or transferred to SpinCo. SpinCo Assets consist of, among other things, to the extent primarily related to the Food Processing business and except as otherwise set forth in the separation and distribution agreement, contracts and any rights to causes of action arising thereunder, intellectual property rights, certain owned and leased real properties, licenses and permits and certain financial assets, among other things. All other assets of Middleby that are not SpinCo Assets will be retained by or transferred to Middleby. These retained assets include, among others, assets that do not relate primarily to the Food Processing business.</w:t>
      </w:r>
    </w:p>
    <w:p>
      <w:pPr>
        <w:spacing w:after="0" w:line="92" w:lineRule="exact"/>
        <w:rPr>
          <w:rFonts w:ascii="Times New Roman" w:cs="Times New Roman" w:eastAsia="Times New Roman" w:hAnsi="Times New Roman"/>
          <w:sz w:val="18"/>
          <w:szCs w:val="18"/>
          <w:color w:val="auto"/>
        </w:rPr>
      </w:pPr>
    </w:p>
    <w:p>
      <w:pPr>
        <w:ind w:left="960" w:right="80" w:hanging="424"/>
        <w:spacing w:after="0" w:line="255"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Middleby will transfer to SpinCo, and SpinCo will assume (or retain, as applicable), certain liabilities, whether arising prior to, at or after the distribution, regardless of when and where such liabilities arose or where, or against whom, such liabilities are asserted or determined, to the extent relating primarily to the conduct and operation of the Food Processing business and/or the ownership, operation or use of any SpinCo Assets, liabilities relating to the operation or conduct of any business that has been divested or discontinued prior to the distribution, certain environmental liabilities arising from owned or leased real properties designated as SpinCo Assets, and product liability claims primarily relating to Food Processing products, among other liabilities allocated to SpinCo under the terms of the separation and distribution agreement. Middleby will retain all liabilities not assumed by SpinCo.</w:t>
      </w:r>
    </w:p>
    <w:p>
      <w:pPr>
        <w:spacing w:after="0" w:line="94" w:lineRule="exact"/>
        <w:rPr>
          <w:rFonts w:ascii="Times New Roman" w:cs="Times New Roman" w:eastAsia="Times New Roman" w:hAnsi="Times New Roman"/>
          <w:sz w:val="18"/>
          <w:szCs w:val="18"/>
          <w:color w:val="auto"/>
        </w:rPr>
      </w:pPr>
    </w:p>
    <w:p>
      <w:pPr>
        <w:ind w:left="960" w:right="60" w:hanging="424"/>
        <w:spacing w:after="0" w:line="258"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separation and distribution agreement or any ancillary agreement, Middleby will be responsible for all costs and expenses incurred on or prior to the distribution by Middleby or SpinCo in connection with the preparation, execution, delivery and implementation of the separation and distribution agreement or any ancillary agreement, and SpinCo shall bear all out-of-pocket costs and expenses incurred from and after the distribution in connection with the implementation of the separation and distribution agreement or any ancillary agreement (except to the extent incurred in connection with services requested by Middleby).</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allocation of liabilities with respect to taxes, except for payroll taxes and reporting and other tax matters expressly covered by the employee matters agreement, are solely covered by the tax matters agreement.</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Except as may expressly be set forth in the separation and distribution agreement or any ancillary agreement, all assets will be transferred on an “as is,” “where is” basis and the respective transferees will bear the economic and legal risks that any conveyance will prove to be insufficient to vest in the transferee good title, free and clear of any security interest, that any necessary consents or governmental approvals are not obtained, and that any requirements of laws or judgments are not complied with.</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Information in this information statement with respect to the assets and liabilities of the parties following the separation is presented based on the allocation of such assets and liabilities pursuant to the separation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66" w:right="459" w:bottom="1440" w:gutter="0" w:footer="0" w:header="0"/>
        </w:sectPr>
      </w:pPr>
    </w:p>
    <w:bookmarkStart w:id="146" w:name="page147"/>
    <w:bookmarkEnd w:id="146"/>
    <w:p>
      <w:pPr>
        <w:ind w:right="2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 agreement, unless the context otherwise requires. Certain of the liabilities and obligations to be assumed by one party or for which one party will have an indemnification obligation under the separation and distribution agreement and the other agreements relating to the separation may be, and following the separation may continue to be, the legal or contractual liabilities or obligations of another party. Each such party that continues to be subject to such legal or contractual liability or obligation will rely on the applicable party that assumed the liability or obligation or the applicable party that undertook an indemnification obligation with respect to the liability or obligation, as applicable, under the separation and distribution agreement, to satisfy the performance and payment obligations or indemnification obligations with respect to such legal or contractual liability or obligation.</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 Distribution</w:t>
      </w:r>
      <w:r>
        <w:rPr>
          <w:rFonts w:ascii="Times New Roman" w:cs="Times New Roman" w:eastAsia="Times New Roman" w:hAnsi="Times New Roman"/>
          <w:sz w:val="18"/>
          <w:szCs w:val="18"/>
          <w:color w:val="auto"/>
        </w:rPr>
        <w:t>. The separation and distribution agreement will also govern the rights and obligations of the parties regarding the proposed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separation and distribution agreement provides that Middleby will cause its agent to distribute to Middleby stockholders that hold shares of Middleby’s common stock as of the applicable record date for the distribution all of the outstanding shares of SpinCo’s common stock. Middleby will have the sole and absolute discretion to determine (and change) the terms of, and whether to proceed with, the distribution and, to the extent it determines to so proceed, to determine the date of the distribution.</w:t>
      </w:r>
    </w:p>
    <w:p>
      <w:pPr>
        <w:spacing w:after="0" w:line="18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The separation and distribution agreement will provide that the distribution is subject to several conditions that must be satisfied or waived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Middleby in its sole discretion. For further information regarding the conditions relating to SpinCo’s separation from Middleby, see the section entitled “The Separation and Distribution—General—Conditions to the Distribution.”</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Releases and Indemnifications</w:t>
      </w:r>
      <w:r>
        <w:rPr>
          <w:rFonts w:ascii="Times New Roman" w:cs="Times New Roman" w:eastAsia="Times New Roman" w:hAnsi="Times New Roman"/>
          <w:sz w:val="18"/>
          <w:szCs w:val="18"/>
          <w:color w:val="auto"/>
        </w:rPr>
        <w:t>. Except as otherwise provided in the separation and distribution agreement or any ancillary agreement, each party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 and forever discharge the other party and its subsidiaries and affiliates and all persons who are or have been stockholders, directors, partners, managers, managing members, officers, agents or employees of the other party or any of their respective subsidiaries, as applicable (in each case, in their respective capacities as such) (excluding any stockholder of Middleby or SpinCo) (the “Indemnified Parties”), from all liabilities existing or arising from any acts or events occurring or failing to occur or alleged to have occurred or to have failed to occur or any conditions existing or alleged to have existed on or before the distribution, whether or not known as of the distribution, including in connection with the transactions and all other activities to implement the separation or the distribution. The releases will not extend to obligations from and after the separation under or relating to any agreement between the parties that is not to terminate as of the distribution. In addition, the separation and distribution agreement will provide for cross-indemnities that, except as otherwise provided in the separation and distribution agreement, are principally designed to place financial responsibility for the obligations and liabilities of the Food Processing business with SpinCo and financial responsibility for the obligations and liabilities of Middleby’s business with Middleby. Specifically, each party will, and will cause its subsidiaries to, indemnify, defend and hold harmless the other party and the applicable Indemnified Parties for any losses that proximately results from:</w:t>
      </w:r>
    </w:p>
    <w:p>
      <w:pPr>
        <w:spacing w:after="0" w:line="97" w:lineRule="exact"/>
        <w:rPr>
          <w:sz w:val="20"/>
          <w:szCs w:val="20"/>
          <w:color w:val="auto"/>
        </w:rPr>
      </w:pPr>
    </w:p>
    <w:p>
      <w:pPr>
        <w:ind w:left="960" w:right="40" w:hanging="424"/>
        <w:spacing w:after="0" w:line="266"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each such party assumed or retained pursuant to the separation and distribution agreement, including failure of a party to pay, perform or otherwise discharge any liability assumed or retained, as applicable, pursuant to the separation and distribution agreement in accordance with their respective terms; and</w:t>
      </w:r>
    </w:p>
    <w:p>
      <w:pPr>
        <w:spacing w:after="0" w:line="81" w:lineRule="exact"/>
        <w:rPr>
          <w:rFonts w:ascii="Times New Roman" w:cs="Times New Roman" w:eastAsia="Times New Roman" w:hAnsi="Times New Roman"/>
          <w:sz w:val="18"/>
          <w:szCs w:val="18"/>
          <w:color w:val="auto"/>
        </w:rPr>
      </w:pPr>
    </w:p>
    <w:p>
      <w:pPr>
        <w:ind w:left="960" w:right="300" w:hanging="424"/>
        <w:spacing w:after="0" w:line="266"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such party of any covenants or obligations to be performed from and after the separation by such persons pursuant to the separation and distribution agreement or any ancillary agreement, unless such ancillary agreement expressly provides for separate indemnification therein, in which case any such indemnification claims will be made thereunder.</w:t>
      </w:r>
    </w:p>
    <w:p>
      <w:pPr>
        <w:spacing w:after="0" w:line="17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Each party’s aforementioned indemnification obligations will be uncapped,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each party’s indemnification obligations will be subject to reduction by any insurance proceeds (net of premium increases) or other proceeds received by the party being indemnified. The separation and distribution agreement will also specify procedures with respect to claims subject to indemnification and related matters. Indemnification with respect to taxes will be governed by the tax matters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147" w:name="page148"/>
    <w:bookmarkEnd w:id="147"/>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w:t>
      </w:r>
      <w:r>
        <w:rPr>
          <w:rFonts w:ascii="Times New Roman" w:cs="Times New Roman" w:eastAsia="Times New Roman" w:hAnsi="Times New Roman"/>
          <w:sz w:val="18"/>
          <w:szCs w:val="18"/>
          <w:color w:val="auto"/>
        </w:rPr>
        <w:t>. SpinCo will generally be responsible for obtaining and maintaining SpinCo’s own insurance coverage and will no longer be an insured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Middleby’s insurance policies following the separation; however, Middleby will use commercially reasonable efforts to provide SpinCo with access to Middleby’s insurance policies for certain matters that arise out of or relate to acts, omissions or occurrences that occurred prior to the spin-off, subject to the terms and conditions of such policies.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Subject to certain exceptions, if a dispute arises with Middleby out of, in connection with, or in relation to the separation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agreement or any ancillary agreement or the transactions contemplated thereby, then such representatives of SpinCo and Middleby, as the parties may designate, will negotiate to resolve any disputes for a period of time not exceeding 60 days. If the parties are unable to resolve the dispute in this manner, then such dispute shall be resolved through binding arbitration.</w:t>
      </w:r>
    </w:p>
    <w:p>
      <w:pPr>
        <w:spacing w:after="0" w:line="180"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Other Matters Governed by the Separation and Distribution Agreement</w:t>
      </w:r>
      <w:r>
        <w:rPr>
          <w:rFonts w:ascii="Times New Roman" w:cs="Times New Roman" w:eastAsia="Times New Roman" w:hAnsi="Times New Roman"/>
          <w:sz w:val="18"/>
          <w:szCs w:val="18"/>
          <w:color w:val="auto"/>
        </w:rPr>
        <w:t>. Other matters governed by the separation and distribution agreement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information, confidentiality, treatment of shared contracts, any transfers to be completed following the distribution, the receipt of any related third-party consents and separation of guarantees, among other matters.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Middleby and SpinCo intend to enter into a transition services agreement pursuant to which Middleby and SpinCo will each provide specified services to the other on a transitional basis to help ensure an orderly transition following the spin-off. These services may include information technology, payroll and benefits, accounting, finance, compliance and administrative activities. The services will be provided at a volume and scope materially consistent with the provision of such services prior to the distribution date and at substantially the same quality of service as was provided prior to the distribution. The transition services agreement will specify the calculation of costs for these services. The charges for such services are generally intended to allow the service provider to recover all of its costs, including internal and out-of-pocket costs and a reasonable allocation of overhead costs. Each party as service recipient will have the ability to extend service terms, subject to providing written notice prior to the expiration of the initial service term and where applicable, payment of a surcharge as set forth in the applicable services schedule, provided that no service term may extend beyond 24 months after the distribution date. We have not yet determined the final schedule of services that will be provided under the transition services agreement, and we intend to update this information statement once these services are finalized.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Matters Agreement</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Middleby and SpinCo will enter into a tax matters agreement that will govern the parties’ respective rights, responsibilities and obligations with respect to tax liabilities and benefits, tax attributes, the preparation and filing of tax returns, the control of audits and other tax proceedings and other matters regarding taxes.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tax matters agreement will provide special rules that allocate tax liabilities in the event the distribution or certain related transactions fail to qualify as transactions that are tax-free for U.S. federal income tax purposes or fail to qualify for certain tax-neutral or tax-free regimes under non-U.S. tax laws. Under the tax matters agreement, SpinCo will generally agree to indemnify Middleby and its affiliates against any and all tax-related liabilities incurred by them relating to the distribution and certain related transactions, to the extent caused by any representation by SpinCo being incorrect or an acquisition of SpinCo’s stock or assets or by any other action undertaken by SpinCo. This indemnification will apply even if Middleby has permitted SpinCo to take an action that would otherwise have been prohibited under the tax-related covenants described below.</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tax matters agreement, SpinCo will agree to certain covenants that contain restrictions intended to preserve the tax-free status for U.S. federal income tax purposes and certain non-U.S. tax purposes of the distribution and certain related transactions. SpinCo may take certain actions prohibited by these covenants only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68" w:right="459" w:bottom="1440" w:gutter="0" w:footer="0" w:header="0"/>
        </w:sectPr>
      </w:pPr>
    </w:p>
    <w:bookmarkStart w:id="148" w:name="page149"/>
    <w:bookmarkEnd w:id="148"/>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SpinCo obtains and provides to Middleby an opinion from a U.S. tax counsel or accountant of recognized national standing, in either case satisfactory to Middleby, to the effect that such action would not jeopardize the tax-free status of these transactions, or if SpinCo obtains prior written consent of Middleby, in its sole and absolute discretion, waiving such requirement. SpinCo will be barred from taking any action, or failing to take any action, where such action or failure to act adversely affects or could reasonably be expected to adversely affect the tax-free status of these transactions, for all relevant time periods. In addition, during the period ending two years after the date of the distribution, these covenants will include, among other things, specific restrictions on SpinCo (i) discontinuing the active conduct of SpinCo’s trade or business; (ii) issuing or selling stock or other securities (including securities convertible into SpinCo stock, but excluding certain compensatory arrangements); (iii) liquidating, merging or consolidating with any other person; (iv) amending SpinCo’s certificate of incorporation (or other organizational documents) or taking any other action, whether through a stockholder vote or otherwise, affecting the voting rights of SpinCo common stock; (v) selling assets outside the ordinary course of business;</w:t>
      </w:r>
    </w:p>
    <w:p>
      <w:pPr>
        <w:spacing w:after="0" w:line="6" w:lineRule="exact"/>
        <w:rPr>
          <w:sz w:val="20"/>
          <w:szCs w:val="20"/>
          <w:color w:val="auto"/>
        </w:rPr>
      </w:pPr>
    </w:p>
    <w:p>
      <w:pPr>
        <w:ind w:left="4" w:right="380" w:hanging="4"/>
        <w:spacing w:after="0" w:line="260" w:lineRule="auto"/>
        <w:tabs>
          <w:tab w:leader="none" w:pos="30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redeeming or repurchasing SpinCo stock unless certain requirements are met or (vii) entering into any other corporate transaction which would cause SpinCo to undergo a 40% or greater change in its stock ownership.</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Employee Matters Agreement</w:t>
      </w:r>
    </w:p>
    <w:p>
      <w:pPr>
        <w:spacing w:after="0" w:line="121"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Middleby and SpinCo will enter into an employee matters agreement in connection with the spin-off to allocate liabilities and responsibilities relating to employment matters, employee compensation and benefit plans and programs and other related matters. The employee matters agreement will govern certain compensation and employee benefit obligations with respect to the current and former employees and non-employee directors of each company, including the terms of equity-based awards granted by Middleby prior to the separation. The employee matters agreement will also set forth the general principles relating to employee matters with respect to both domestic and international employees, including with respect to collective bargaining agreements, allocation of assets and liabilities, workers’ compensation, payroll matters, regulatory filings, paid time off, commencing or continuing participation in employee benefit plans and the sharing of employee information, in each case as it relates to the separation.</w:t>
      </w:r>
    </w:p>
    <w:p>
      <w:pPr>
        <w:spacing w:after="0" w:line="187" w:lineRule="exact"/>
        <w:rPr>
          <w:sz w:val="20"/>
          <w:szCs w:val="20"/>
          <w:color w:val="auto"/>
        </w:rPr>
      </w:pPr>
    </w:p>
    <w:p>
      <w:pPr>
        <w:jc w:val="both"/>
        <w:ind w:left="4" w:right="100"/>
        <w:spacing w:after="0" w:line="267" w:lineRule="auto"/>
        <w:rPr>
          <w:sz w:val="20"/>
          <w:szCs w:val="20"/>
          <w:color w:val="auto"/>
        </w:rPr>
      </w:pPr>
      <w:r>
        <w:rPr>
          <w:rFonts w:ascii="Times New Roman" w:cs="Times New Roman" w:eastAsia="Times New Roman" w:hAnsi="Times New Roman"/>
          <w:sz w:val="18"/>
          <w:szCs w:val="18"/>
          <w:i w:val="1"/>
          <w:iCs w:val="1"/>
          <w:color w:val="auto"/>
        </w:rPr>
        <w:t>Treatment of Equity Awards</w:t>
      </w:r>
      <w:r>
        <w:rPr>
          <w:rFonts w:ascii="Times New Roman" w:cs="Times New Roman" w:eastAsia="Times New Roman" w:hAnsi="Times New Roman"/>
          <w:sz w:val="18"/>
          <w:szCs w:val="18"/>
          <w:color w:val="auto"/>
        </w:rPr>
        <w:t>. As described in the section of this Information Statement entitled “Executive Compensation—2026 Long-Term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we expect our Board to adopt, and Middleby, in its capacity as our sole stockholder, to approve, the LTIP for the benefit of certain of our current and future employees and other service providers, including our non-employee directors.</w:t>
      </w:r>
    </w:p>
    <w:p>
      <w:pPr>
        <w:spacing w:after="0" w:line="175"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Generally, employees and non-employee directors who are affiliated with Middleby will have their outstanding Middleby RSU awards adjusted, while employees and non-employee directors who transition to SpinCo will have their outstanding Middleby RSU awards (if any) converted into SpinCo RSU awards. Each adjustment or conversion is anticipated to be calculated using a predetermined ratio based on the quotient obtained by dividing the sum of the volume-weighted average price of a share of Middleby common stock and the volume-weighted average price of a share of SpinCo common stock, each determined for the ten-trading-day period following the distribution date by the volume-weighted average price of a share of SpinCo or Middleby common stock, as applicable, determined for the ten-trading-day period following the distribution date. Performance goals relating to any RSUs that are performance stock units (or PSUs) will be adjusted by the entity to which the underlying shares relate. Generally, the terms and conditions applicable to SpinCo’s equity awards will be substantially identical to the terms and conditions applicable to the original Middleby equity award, such that all SpinCo equity awards will become vested upon the date the underlying Middleby equity award would have otherwise vested in accordance with the existing terms and vesting schedule.</w:t>
      </w:r>
    </w:p>
    <w:p>
      <w:pPr>
        <w:spacing w:after="0" w:line="192"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i w:val="1"/>
          <w:iCs w:val="1"/>
          <w:color w:val="auto"/>
        </w:rPr>
        <w:t>Treatment of Employee Benefits</w:t>
      </w:r>
      <w:r>
        <w:rPr>
          <w:rFonts w:ascii="Times New Roman" w:cs="Times New Roman" w:eastAsia="Times New Roman" w:hAnsi="Times New Roman"/>
          <w:sz w:val="18"/>
          <w:szCs w:val="18"/>
          <w:color w:val="auto"/>
        </w:rPr>
        <w:t>. With regard to employee benefits, SpinCo will credit service accrued by each of its employees during the time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employed by either SpinCo or Middleby prior to the distribution date. Immediately after the distribution date, SpinCo plans to establish a standard complement of health and welfare benefit plans for SpinCo employees, including a 401(k) plan. Middleby will have no responsibility with respect to SpinCo’s 401(k) plan.</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84"/>
          </w:cols>
          <w:pgMar w:left="436" w:top="270"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 Matters Agreement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Middleby and SpinCo intend to enter into an intellectual property matters agreement that will provide for intellectual property cross-licenses, intellectual property ownership, prosecution, enforcement and other arrangements. Middleby will grant SpinCo a freedom-to-operate license under certain patents and other intellectual property rights (including a trademark license for specified trademarks) owned by Middleby and used in the Food Processing business as of immediately prior to the separation, on the same terms. SpinCo will grant Middleby a reciprocal license under certain patents and other intellectual property rights (excluding trademarks) owned by SpinCo and used in Middleby’s retained businesses as of immediately prior to the separation, on the same terms. Each party will have limited sublicensing rights solely for the purposes of having products designed, tested, manufactured, distributed or sold on its behalf. We have not yet finalized all of the terms of these agreements, and we intend to update this information statement to include additional details on the terms of these agreements.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66" w:right="45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the date hereof, all of the outstanding shares of SpinCo common stock are owned by Middleby. Immediately following the distribution, Middleby will own no shares of SpinCo common stock.</w:t>
      </w:r>
    </w:p>
    <w:p>
      <w:pPr>
        <w:spacing w:after="0" w:line="16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The following table provides information with respect to the expected beneficial ownership of SpinCo common stock immediately after the distribution by (i) each person whom we believe will be a beneficial owner of more than 5% of the outstanding shares of SpinCo common stock, (ii) each of our expected directors, director nominees and named executive officers and (iii) all expected directors, director nominees and executive officers as a group.</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Following the separation and distribution, SpinCo expects to have an aggregate of 45,214,588 shares of SpinCo common stock outstanding based upon 45,214,588 shares of Middleby common stock issued and outstanding on May 21, 2026, excluding treasury shares, assuming no issuance of any shares under Middleby equity compensation awards and applying the distribution ratio to each share of Middleby common stock. Beneficial ownership is determined in accordance with the rules of the SEC.</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 the extent our directors and officers own shares of Middleby common stock at the time of the spin-off, they will participate in the distribution on the same terms as other holders of shares of Middleby common stock.</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Unless otherwise indicated, the business address of each director, director nominee and executive officer shown in the table below is 10275 West Higgins Road, Suite 300, Rosemont, IL 60018. None of SpinCo’s directors or executive officers are expected to own 1% or more of SpinCo’s common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58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Shares of SpinCo Common</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8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Stock to Be Beneficially</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8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Owned Upon the</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 of Class</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8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 Nominees and Named Executive Officers:</w:t>
            </w:r>
          </w:p>
        </w:tc>
        <w:tc>
          <w:tcPr>
            <w:tcW w:w="1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Robert A. Nerbonne</w:t>
            </w:r>
          </w:p>
        </w:tc>
        <w:tc>
          <w:tcPr>
            <w:tcW w:w="492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color w:val="auto"/>
              </w:rPr>
              <w:t>25,001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Mark M. Salman</w:t>
            </w:r>
          </w:p>
        </w:tc>
        <w:tc>
          <w:tcPr>
            <w:tcW w:w="4920" w:type="dxa"/>
            <w:vAlign w:val="bottom"/>
            <w:gridSpan w:val="4"/>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28,637</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Carlos A. Fernandez Villena</w:t>
            </w: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line="216" w:lineRule="exact"/>
              <w:rPr>
                <w:sz w:val="20"/>
                <w:szCs w:val="20"/>
                <w:color w:val="auto"/>
              </w:rPr>
            </w:pPr>
            <w:r>
              <w:rPr>
                <w:rFonts w:ascii="Times New Roman" w:cs="Times New Roman" w:eastAsia="Times New Roman" w:hAnsi="Times New Roman"/>
                <w:sz w:val="17"/>
                <w:szCs w:val="17"/>
                <w:color w:val="auto"/>
              </w:rPr>
              <w:t>Timothy J. FitzGerald</w:t>
            </w:r>
            <w:r>
              <w:rPr>
                <w:rFonts w:ascii="Times New Roman" w:cs="Times New Roman" w:eastAsia="Times New Roman" w:hAnsi="Times New Roman"/>
                <w:sz w:val="25"/>
                <w:szCs w:val="25"/>
                <w:color w:val="auto"/>
                <w:vertAlign w:val="superscript"/>
              </w:rPr>
              <w:t>(1)</w:t>
            </w:r>
          </w:p>
        </w:tc>
        <w:tc>
          <w:tcPr>
            <w:tcW w:w="4920" w:type="dxa"/>
            <w:vAlign w:val="bottom"/>
            <w:gridSpan w:val="4"/>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433,002</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James T. Glerum, Jr</w:t>
            </w: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Brian M. Jacoby</w:t>
            </w: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Cathy L. McCarthy</w:t>
            </w:r>
          </w:p>
        </w:tc>
        <w:tc>
          <w:tcPr>
            <w:tcW w:w="492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color w:val="auto"/>
              </w:rPr>
              <w:t>9,719</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Janet H. Zelenka</w:t>
            </w: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Amy A. Campbell</w:t>
            </w: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Mark S. Bowie</w:t>
            </w: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Matthew R. Fuchsen</w:t>
            </w:r>
          </w:p>
        </w:tc>
        <w:tc>
          <w:tcPr>
            <w:tcW w:w="492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color w:val="auto"/>
              </w:rPr>
              <w:t>38,268</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4"/>
        </w:trPr>
        <w:tc>
          <w:tcPr>
            <w:tcW w:w="5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 Nominees and Current Executive Officers as a Group</w:t>
            </w:r>
          </w:p>
        </w:tc>
        <w:tc>
          <w:tcPr>
            <w:tcW w:w="1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(11 persons)</w:t>
            </w:r>
          </w:p>
        </w:tc>
        <w:tc>
          <w:tcPr>
            <w:tcW w:w="4920" w:type="dxa"/>
            <w:vAlign w:val="bottom"/>
            <w:gridSpan w:val="4"/>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534,627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6"/>
                <w:szCs w:val="16"/>
                <w:color w:val="auto"/>
              </w:rPr>
              <w:t>T. Rowe Price Associates, Inc.</w:t>
            </w:r>
            <w:r>
              <w:rPr>
                <w:rFonts w:ascii="Times New Roman" w:cs="Times New Roman" w:eastAsia="Times New Roman" w:hAnsi="Times New Roman"/>
                <w:sz w:val="22"/>
                <w:szCs w:val="22"/>
                <w:color w:val="auto"/>
                <w:vertAlign w:val="superscript"/>
              </w:rPr>
              <w:t>(2)</w:t>
            </w:r>
          </w:p>
        </w:tc>
        <w:tc>
          <w:tcPr>
            <w:tcW w:w="4920" w:type="dxa"/>
            <w:vAlign w:val="bottom"/>
            <w:gridSpan w:val="4"/>
            <w:shd w:val="clear" w:color="auto" w:fill="CCEEFF"/>
          </w:tcPr>
          <w:p>
            <w:pPr>
              <w:jc w:val="right"/>
              <w:ind w:right="900"/>
              <w:spacing w:after="0" w:line="198" w:lineRule="exact"/>
              <w:rPr>
                <w:sz w:val="20"/>
                <w:szCs w:val="20"/>
                <w:color w:val="auto"/>
              </w:rPr>
            </w:pPr>
            <w:r>
              <w:rPr>
                <w:rFonts w:ascii="Times New Roman" w:cs="Times New Roman" w:eastAsia="Times New Roman" w:hAnsi="Times New Roman"/>
                <w:sz w:val="18"/>
                <w:szCs w:val="18"/>
                <w:color w:val="auto"/>
              </w:rPr>
              <w:t>6,420,118</w:t>
            </w:r>
          </w:p>
        </w:tc>
        <w:tc>
          <w:tcPr>
            <w:tcW w:w="88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48"/>
        </w:trPr>
        <w:tc>
          <w:tcPr>
            <w:tcW w:w="5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1307 Point Street, Baltimore, MD 21231</w:t>
            </w:r>
          </w:p>
        </w:tc>
        <w:tc>
          <w:tcPr>
            <w:tcW w:w="1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720"/>
              <w:spacing w:after="0" w:line="198"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2"/>
                <w:szCs w:val="22"/>
                <w:color w:val="auto"/>
                <w:vertAlign w:val="superscript"/>
              </w:rPr>
              <w:t>(3)</w:t>
            </w:r>
          </w:p>
        </w:tc>
        <w:tc>
          <w:tcPr>
            <w:tcW w:w="4920" w:type="dxa"/>
            <w:vAlign w:val="bottom"/>
            <w:gridSpan w:val="4"/>
          </w:tcPr>
          <w:p>
            <w:pPr>
              <w:jc w:val="right"/>
              <w:ind w:right="900"/>
              <w:spacing w:after="0" w:line="198" w:lineRule="exact"/>
              <w:rPr>
                <w:sz w:val="20"/>
                <w:szCs w:val="20"/>
                <w:color w:val="auto"/>
              </w:rPr>
            </w:pPr>
            <w:r>
              <w:rPr>
                <w:rFonts w:ascii="Times New Roman" w:cs="Times New Roman" w:eastAsia="Times New Roman" w:hAnsi="Times New Roman"/>
                <w:sz w:val="18"/>
                <w:szCs w:val="18"/>
                <w:color w:val="auto"/>
              </w:rPr>
              <w:t>4,457,976</w:t>
            </w: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41"/>
        </w:trPr>
        <w:tc>
          <w:tcPr>
            <w:tcW w:w="5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50 Hudson Yards, New York, NY 10001</w:t>
            </w:r>
          </w:p>
        </w:tc>
        <w:tc>
          <w:tcPr>
            <w:tcW w:w="1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220" w:type="dxa"/>
            <w:vAlign w:val="bottom"/>
            <w:shd w:val="clear" w:color="auto" w:fill="CCEEFF"/>
          </w:tcPr>
          <w:p>
            <w:pPr>
              <w:ind w:left="720"/>
              <w:spacing w:after="0" w:line="204" w:lineRule="exact"/>
              <w:rPr>
                <w:sz w:val="20"/>
                <w:szCs w:val="20"/>
                <w:color w:val="auto"/>
              </w:rPr>
            </w:pPr>
            <w:r>
              <w:rPr>
                <w:rFonts w:ascii="Times New Roman" w:cs="Times New Roman" w:eastAsia="Times New Roman" w:hAnsi="Times New Roman"/>
                <w:sz w:val="16"/>
                <w:szCs w:val="16"/>
                <w:color w:val="auto"/>
              </w:rPr>
              <w:t>Edward P. Garden</w:t>
            </w:r>
            <w:r>
              <w:rPr>
                <w:rFonts w:ascii="Times New Roman" w:cs="Times New Roman" w:eastAsia="Times New Roman" w:hAnsi="Times New Roman"/>
                <w:sz w:val="23"/>
                <w:szCs w:val="23"/>
                <w:color w:val="auto"/>
                <w:vertAlign w:val="superscript"/>
              </w:rPr>
              <w:t>(4)</w:t>
            </w:r>
          </w:p>
        </w:tc>
        <w:tc>
          <w:tcPr>
            <w:tcW w:w="4920" w:type="dxa"/>
            <w:vAlign w:val="bottom"/>
            <w:gridSpan w:val="4"/>
            <w:shd w:val="clear" w:color="auto" w:fill="CCEEFF"/>
          </w:tcPr>
          <w:p>
            <w:pPr>
              <w:jc w:val="right"/>
              <w:ind w:right="900"/>
              <w:spacing w:after="0" w:line="205" w:lineRule="exact"/>
              <w:rPr>
                <w:sz w:val="20"/>
                <w:szCs w:val="20"/>
                <w:color w:val="auto"/>
              </w:rPr>
            </w:pPr>
            <w:r>
              <w:rPr>
                <w:rFonts w:ascii="Times New Roman" w:cs="Times New Roman" w:eastAsia="Times New Roman" w:hAnsi="Times New Roman"/>
                <w:sz w:val="18"/>
                <w:szCs w:val="18"/>
                <w:color w:val="auto"/>
              </w:rPr>
              <w:t>3,380,845</w:t>
            </w:r>
          </w:p>
        </w:tc>
        <w:tc>
          <w:tcPr>
            <w:tcW w:w="880" w:type="dxa"/>
            <w:vAlign w:val="bottom"/>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48"/>
        </w:trPr>
        <w:tc>
          <w:tcPr>
            <w:tcW w:w="5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73 Arch Street, 2nd Floor, Greenwich, CT, 06830</w:t>
            </w:r>
          </w:p>
        </w:tc>
        <w:tc>
          <w:tcPr>
            <w:tcW w:w="1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220" w:type="dxa"/>
            <w:vAlign w:val="bottom"/>
          </w:tcPr>
          <w:p>
            <w:pPr>
              <w:ind w:left="720"/>
              <w:spacing w:after="0" w:line="198" w:lineRule="exact"/>
              <w:rPr>
                <w:sz w:val="20"/>
                <w:szCs w:val="20"/>
                <w:color w:val="auto"/>
              </w:rPr>
            </w:pPr>
            <w:r>
              <w:rPr>
                <w:rFonts w:ascii="Times New Roman" w:cs="Times New Roman" w:eastAsia="Times New Roman" w:hAnsi="Times New Roman"/>
                <w:sz w:val="16"/>
                <w:szCs w:val="16"/>
                <w:color w:val="auto"/>
              </w:rPr>
              <w:t>Vanguard Capital Management LLC</w:t>
            </w:r>
            <w:r>
              <w:rPr>
                <w:rFonts w:ascii="Times New Roman" w:cs="Times New Roman" w:eastAsia="Times New Roman" w:hAnsi="Times New Roman"/>
                <w:sz w:val="22"/>
                <w:szCs w:val="22"/>
                <w:color w:val="auto"/>
                <w:vertAlign w:val="superscript"/>
              </w:rPr>
              <w:t>(5)</w:t>
            </w:r>
          </w:p>
        </w:tc>
        <w:tc>
          <w:tcPr>
            <w:tcW w:w="4920" w:type="dxa"/>
            <w:vAlign w:val="bottom"/>
            <w:gridSpan w:val="4"/>
          </w:tcPr>
          <w:p>
            <w:pPr>
              <w:jc w:val="right"/>
              <w:ind w:right="900"/>
              <w:spacing w:after="0" w:line="198" w:lineRule="exact"/>
              <w:rPr>
                <w:sz w:val="20"/>
                <w:szCs w:val="20"/>
                <w:color w:val="auto"/>
              </w:rPr>
            </w:pPr>
            <w:r>
              <w:rPr>
                <w:rFonts w:ascii="Times New Roman" w:cs="Times New Roman" w:eastAsia="Times New Roman" w:hAnsi="Times New Roman"/>
                <w:sz w:val="18"/>
                <w:szCs w:val="18"/>
                <w:color w:val="auto"/>
              </w:rPr>
              <w:t>2,408,209</w:t>
            </w:r>
          </w:p>
        </w:tc>
        <w:tc>
          <w:tcPr>
            <w:tcW w:w="8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41"/>
        </w:trPr>
        <w:tc>
          <w:tcPr>
            <w:tcW w:w="5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100 Vanguard Boulevard, Malvern, PA 19355</w:t>
            </w:r>
          </w:p>
        </w:tc>
        <w:tc>
          <w:tcPr>
            <w:tcW w:w="1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220" w:type="dxa"/>
            <w:vAlign w:val="bottom"/>
            <w:shd w:val="clear" w:color="auto" w:fill="CCEEFF"/>
          </w:tcPr>
          <w:p>
            <w:pPr>
              <w:ind w:left="720"/>
              <w:spacing w:after="0" w:line="204" w:lineRule="exact"/>
              <w:rPr>
                <w:sz w:val="20"/>
                <w:szCs w:val="20"/>
                <w:color w:val="auto"/>
              </w:rPr>
            </w:pPr>
            <w:r>
              <w:rPr>
                <w:rFonts w:ascii="Times New Roman" w:cs="Times New Roman" w:eastAsia="Times New Roman" w:hAnsi="Times New Roman"/>
                <w:sz w:val="16"/>
                <w:szCs w:val="16"/>
                <w:color w:val="auto"/>
              </w:rPr>
              <w:t>JPMorgan Chase &amp; Co</w:t>
            </w:r>
            <w:r>
              <w:rPr>
                <w:rFonts w:ascii="Times New Roman" w:cs="Times New Roman" w:eastAsia="Times New Roman" w:hAnsi="Times New Roman"/>
                <w:sz w:val="23"/>
                <w:szCs w:val="23"/>
                <w:color w:val="auto"/>
                <w:vertAlign w:val="superscript"/>
              </w:rPr>
              <w:t>(6)</w:t>
            </w:r>
          </w:p>
        </w:tc>
        <w:tc>
          <w:tcPr>
            <w:tcW w:w="4920" w:type="dxa"/>
            <w:vAlign w:val="bottom"/>
            <w:gridSpan w:val="4"/>
            <w:shd w:val="clear" w:color="auto" w:fill="CCEEFF"/>
          </w:tcPr>
          <w:p>
            <w:pPr>
              <w:jc w:val="right"/>
              <w:ind w:right="900"/>
              <w:spacing w:after="0" w:line="205" w:lineRule="exact"/>
              <w:rPr>
                <w:sz w:val="20"/>
                <w:szCs w:val="20"/>
                <w:color w:val="auto"/>
              </w:rPr>
            </w:pPr>
            <w:r>
              <w:rPr>
                <w:rFonts w:ascii="Times New Roman" w:cs="Times New Roman" w:eastAsia="Times New Roman" w:hAnsi="Times New Roman"/>
                <w:sz w:val="18"/>
                <w:szCs w:val="18"/>
                <w:color w:val="auto"/>
              </w:rPr>
              <w:t>2,367,289</w:t>
            </w:r>
          </w:p>
        </w:tc>
        <w:tc>
          <w:tcPr>
            <w:tcW w:w="880" w:type="dxa"/>
            <w:vAlign w:val="bottom"/>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48"/>
        </w:trPr>
        <w:tc>
          <w:tcPr>
            <w:tcW w:w="5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270 Park Avenue, New York, NY 10017</w:t>
            </w:r>
          </w:p>
        </w:tc>
        <w:tc>
          <w:tcPr>
            <w:tcW w:w="15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5220" w:type="dxa"/>
            <w:vAlign w:val="bottom"/>
          </w:tcPr>
          <w:p>
            <w:pPr>
              <w:spacing w:after="0"/>
              <w:rPr>
                <w:sz w:val="24"/>
                <w:szCs w:val="24"/>
                <w:color w:val="auto"/>
              </w:rPr>
            </w:pPr>
          </w:p>
        </w:tc>
        <w:tc>
          <w:tcPr>
            <w:tcW w:w="15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143</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51" w:name="page152"/>
    <w:bookmarkEnd w:id="151"/>
    <w:p>
      <w:pPr>
        <w:ind w:left="4"/>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7715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1525" cy="8890"/>
                    </a:xfrm>
                    <a:prstGeom prst="rect">
                      <a:avLst/>
                    </a:prstGeom>
                    <a:noFill/>
                  </pic:spPr>
                </pic:pic>
              </a:graphicData>
            </a:graphic>
          </wp:anchor>
        </w:drawing>
        <w:t>*   Indicates beneficial ownership of less than 1%</w:t>
      </w:r>
    </w:p>
    <w:p>
      <w:pPr>
        <w:spacing w:after="0" w:line="4" w:lineRule="exact"/>
        <w:rPr>
          <w:sz w:val="20"/>
          <w:szCs w:val="20"/>
          <w:color w:val="auto"/>
        </w:rPr>
      </w:pPr>
    </w:p>
    <w:p>
      <w:pPr>
        <w:ind w:left="424" w:right="200" w:hanging="424"/>
        <w:spacing w:after="0" w:line="221" w:lineRule="auto"/>
        <w:tabs>
          <w:tab w:leader="none" w:pos="42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331,552 shares of Middleby common stock held by Mr. FitzGerald, 20,000 shares of Middleby common stock held by Mr. FitzGerald’s spouse as trustee, 56,250 shares of Middleby common stock held by Mr. FitzGerald as trustee and 25,200 shares of Middleby common stock held by Mr. FitzGerald’s spouse and children.</w:t>
      </w:r>
    </w:p>
    <w:p>
      <w:pPr>
        <w:ind w:left="424" w:right="300" w:hanging="424"/>
        <w:spacing w:after="0" w:line="221" w:lineRule="auto"/>
        <w:tabs>
          <w:tab w:leader="none" w:pos="42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May 15, 2026, by T. Rowe Price Associates, Inc. with respect to Middleby common stock, T. Rowe Price Associates, Inc. beneficially owns 6,420,118 shares of Middleby common stock and has (a) sole voting power with respect to 6,078,369 shares of Middleby common stock and (b) sole dispositive power with respect to 6,420,118 shares of Middleby common stock.</w:t>
      </w:r>
    </w:p>
    <w:p>
      <w:pPr>
        <w:jc w:val="both"/>
        <w:ind w:left="424" w:right="60" w:hanging="424"/>
        <w:spacing w:after="0" w:line="221" w:lineRule="auto"/>
        <w:tabs>
          <w:tab w:leader="none" w:pos="42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with the SEC on January 25, 2024, by BlackRock, Inc. with respect to Middleby common stock, Blackrock, Inc. beneficially owns 4,457,976 shares of Middleby common stock and has (a) sole voting power with respect to 4,348,606 shares of Middleby common stock and (b) sole dispositive power with respect to 4,457,976 shares of Middleby common stock.</w:t>
      </w:r>
    </w:p>
    <w:p>
      <w:pPr>
        <w:ind w:left="424" w:hanging="424"/>
        <w:spacing w:after="0" w:line="221" w:lineRule="auto"/>
        <w:tabs>
          <w:tab w:leader="none" w:pos="42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Form 4 filed with the SEC on March 10, 2026, by Mr. Garden with respect to Middleby common stock, Mr. Garden directly beneficially owns 1,108 shares of Middleby common stock. Based on a Schedule 13D/A filed with the SEC on January 6, 2026, by GI SPV I L.P. with respect to Middleby common stock, GI SPV I L.P. directly beneficially owns 3,379,737 shares of Middleby common stock and has (a) shared voting power with respect to 3,379,737 shares of Middleby common stock and (b) shared dispositive power with respect to 3,379,737 shares of Middleby common stock. Mr. Garden is the sole member of Garden Investment Management GP, LLC, which serves as the general partner of Garden Investment Management, L.P., which serves as the management company for GI SPV I L.P. GI SPV I GP LLC is the general partner of GI SPV I L.P. Mr. Garden disclaims beneficial ownership of such securities directly beneficially owned by GI SPV I L.P. except to the extent of his pecuniary interests therein.</w:t>
      </w:r>
    </w:p>
    <w:p>
      <w:pPr>
        <w:spacing w:after="0" w:line="1" w:lineRule="exact"/>
        <w:rPr>
          <w:rFonts w:ascii="Times New Roman" w:cs="Times New Roman" w:eastAsia="Times New Roman" w:hAnsi="Times New Roman"/>
          <w:sz w:val="14"/>
          <w:szCs w:val="14"/>
          <w:color w:val="auto"/>
        </w:rPr>
      </w:pPr>
    </w:p>
    <w:p>
      <w:pPr>
        <w:ind w:left="424" w:hanging="424"/>
        <w:spacing w:after="0" w:line="221" w:lineRule="auto"/>
        <w:tabs>
          <w:tab w:leader="none" w:pos="42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April 30, 2026, by Vanguard Capital Management LLC with respect to Middleby common stock, Vanguard Capital Management LLC beneficially owns 2,408,209 shares of Middleby common stock and has (a) sole voting power with respect to 355,580 shares of Middleby common stock and (b) sole dispositive power with respect to 2,408,209 shares of Middleby common stock.</w:t>
      </w:r>
    </w:p>
    <w:p>
      <w:pPr>
        <w:ind w:left="424" w:right="140" w:hanging="424"/>
        <w:spacing w:after="0" w:line="230" w:lineRule="auto"/>
        <w:tabs>
          <w:tab w:leader="none" w:pos="424"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 filed with the SEC on May 13, 2026, by JPMorgan Chase &amp; Co with respect to Middleby common stock, JPMorgan Chase &amp; Co beneficially owns 2,367,289 shares of Middleby common stock and has (a) sole voting power with respect to 2,197,689 shares of Middleby common stock, (b) shared voting power with respect to 15 shares of Middleby common stock, (c) sole dispositive power with respect to 2,367,213 shares of Middleby common stock and (d) shared dispositive power with respect to 76 shares of Middleby common stock.</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4"/>
          </w:cols>
          <w:pgMar w:left="436" w:top="454" w:right="459" w:bottom="1440" w:gutter="0" w:footer="0" w:header="0"/>
        </w:sectPr>
      </w:pPr>
    </w:p>
    <w:bookmarkStart w:id="152" w:name="page153"/>
    <w:bookmarkEnd w:id="15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CERTAIN INDEBTEDNESS</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Concurrently with or prior to the consummation of the spin-off, SpinCo anticipates entering into an approximately $1.0 billion senior secured credit facility (the “Senior Secured Credit Facility”). There can be no assurance that SpinCo will enter into the Senior Secured Credit Facility on the terms described herein, or at all.</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obligations under the Senior Secured Credit Facility are expected to be guaranteed by SpinCo and certain of its subsidiaries, subject to certain exceptions to be agreed. The obligations under the Senior Secured Credit Facility are expected to be secured by SpinCo’s assets and the assets of certain of SpinCo’s subsidiaries, subject, in each case, to certain exceptions to be agreed.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anticipated that the Senior Secured Credit Facility will include covenants and other terms and provisions customary for a facility of its type.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60"/>
          </w:cols>
          <w:pgMar w:left="440" w:top="266" w:right="49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CAPITAL STOCK</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Our certificate of incorporation and bylaws will be amended and restated prior to the spin-off. The following is a summary of the material terms of our capital stock that will be contained in our amended and restated certificate of incorporation and amended and restated bylaws. These descriptions contain all information which we consider to be material but may not contain all of the information that is important to you. The summaries and descriptions below do not purport to be complete statements of the relevant provisions of our amended and restated certificate of incorporation or of our amended and restated bylaws to be in effect at the time of the distribution and is qualified by reference to Delaware statutory and common law and the full texts of such documents. The summary is qualified in its entirety by reference to these documents, which you should read, along with the applicable provisions of Delaware law, for complete information on SpinCo’s capital stock at the time of the distribution. Our amended and restated certificate of incorporation and our amended and restated bylaws that will be in effect at the time of the distribution are included as exhibits to the registration statement of which this information statement is a part.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Immediately following the spin-off, our authorized capital stock will consist of 95,000,000 shares of common stock, par value $0.01 per share, and 2,000,000 shares of preferred stock, par value $0.01 per share.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Immediately following the spin-off, we expect that 45,214,588 shares of SpinCo common stock will be issued and outstanding, based on 45,214,588 shares of Middleby common stock outstanding as of May 21, 2026.</w:t>
      </w:r>
    </w:p>
    <w:p>
      <w:pPr>
        <w:spacing w:after="0" w:line="16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Payment of dividends on SpinCo common stock may be made at the discretion of the SpinCo Board out of legally available funds,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preferential dividend rights of any then outstanding shares of SpinCo preferred stock.</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SpinCo common stock will be entitled to one vote for each share held of record on all matters submitted to a vote of SpinCo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With certain exceptions, a majority of votes cast at a duly called SpinCo stockholder meeting at which a quorum is present shall decide all stockholder matters. Except with respect to vacancies and newly created directorships, our amended and restated bylaws will provide that the SpinCo Board’s directors are elected by the vote of a majority of the votes cast with respect to that director (meaning the number of shares voted “for” a director must exceed the number of shares voted “against” that director) at any meeting for the election of directors at which a quorum is present. However, if there are more nominees for election than the number of directors to be elected, directors will be elected by a plurality of votes cast on the election of directors. Our amended and restated certificate of incorporation will not provide for cumulative voting.</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In the event of SpinCo’s liquidation, dissolution or winding up, the holders of SpinCo common stock will be entitled to share ratably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remaining after satisfaction of liabilities and the liquidation preference of any then outstanding shares of SpinCo preferred stock. Holders of SpinCo common stock will have no preemptive rights and no right to convert their SpinCo common stock into any other securities. There will be no redemption or sinking fund provisions applicable to the SpinCo common stock. The rights, preferences and privileges of holders of SpinCo common stock will be subject to, and could be adversely affected by, the rights of holders of shares of any series of SpinCo preferred stock which SpinCo may designate and issue in the future without further SpinCo stockholder approval.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We have received approval to list SpinCo common stock on Nasdaq under the symbol “MFP.”</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66" w:right="45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Preferred Stock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SpinCo Board is expressly authorized to provide for the issuance from time to time, without further SpinCo stockholder approval, of up to an aggregate of 2,000,000 shares of SpinCo preferred stock in one or more classes or series, and to fix each such class or series such voting powers, fully or limited, or no voting powers, and such designations, preferences and relative, participating, optional or other special rights and such qualifications, limitations or restrictions of the shares of each class or series, including the dividend rights, dividend rates, conversion rights, voting rights, terms of redemption, redemption price or prices, liquidation preferences and the number of shares constituting any series or designations of any series.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Anti-Takeover Effect of Our Certificate of Incorporation and Bylaws and Delaware Law</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our amended and restated bylaws and the DGCL could have the effect of delaying, deferring or discouraging another party from acquiring SpinCo. These provisions encourage persons considering unsolicited tender offers or other unilateral takeover proposals to negotiate with the SpinCo Board rather than pursue non-negotiated takeover attempts. These provisions include the below summarized items.</w:t>
      </w:r>
    </w:p>
    <w:p>
      <w:pPr>
        <w:spacing w:after="0" w:line="178"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DGCL Section 203</w:t>
      </w:r>
      <w:r>
        <w:rPr>
          <w:rFonts w:ascii="Times New Roman" w:cs="Times New Roman" w:eastAsia="Times New Roman" w:hAnsi="Times New Roman"/>
          <w:sz w:val="18"/>
          <w:szCs w:val="18"/>
          <w:color w:val="auto"/>
        </w:rPr>
        <w:t>. SpinCo is subject to the provisions of Section 203 of the DGCL. In general, Section 203 of the DGCL prohibits a publicly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 from engaging in a “business combination” with an “interested stockholder” for a period of three years following the date of the transaction in which such person becomes an interested stockholder, unless:</w:t>
      </w:r>
    </w:p>
    <w:p>
      <w:pPr>
        <w:spacing w:after="0" w:line="81" w:lineRule="exact"/>
        <w:rPr>
          <w:sz w:val="20"/>
          <w:szCs w:val="20"/>
          <w:color w:val="auto"/>
        </w:rPr>
      </w:pPr>
    </w:p>
    <w:p>
      <w:pPr>
        <w:ind w:left="960" w:right="220" w:hanging="424"/>
        <w:spacing w:after="0" w:line="282"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960" w:right="240" w:hanging="424"/>
        <w:spacing w:after="0" w:line="257"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w:t>
      </w:r>
    </w:p>
    <w:p>
      <w:pPr>
        <w:spacing w:after="0" w:line="1" w:lineRule="exact"/>
        <w:rPr>
          <w:rFonts w:ascii="Times New Roman" w:cs="Times New Roman" w:eastAsia="Times New Roman" w:hAnsi="Times New Roman"/>
          <w:sz w:val="18"/>
          <w:szCs w:val="18"/>
          <w:color w:val="auto"/>
        </w:rPr>
      </w:pPr>
    </w:p>
    <w:p>
      <w:pPr>
        <w:ind w:left="96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6" w:lineRule="exact"/>
        <w:rPr>
          <w:rFonts w:ascii="Times New Roman" w:cs="Times New Roman" w:eastAsia="Times New Roman" w:hAnsi="Times New Roman"/>
          <w:sz w:val="18"/>
          <w:szCs w:val="18"/>
          <w:color w:val="auto"/>
        </w:rPr>
      </w:pPr>
    </w:p>
    <w:p>
      <w:pPr>
        <w:ind w:left="960" w:right="240" w:hanging="424"/>
        <w:spacing w:after="0" w:line="266"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general, Section 203 of the DGCL defines an interested stockholder as any entity or person beneficially owning 15% or more of the outstanding voting stock of SpinCo and any entity or person affiliated with or controlling or controlled by the entity or person.</w:t>
      </w:r>
    </w:p>
    <w:p>
      <w:pPr>
        <w:spacing w:after="0" w:line="160"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i w:val="1"/>
          <w:iCs w:val="1"/>
          <w:color w:val="auto"/>
        </w:rPr>
        <w:t>Special Stockholder Approval for Certain Transactions</w:t>
      </w:r>
      <w:r>
        <w:rPr>
          <w:rFonts w:ascii="Times New Roman" w:cs="Times New Roman" w:eastAsia="Times New Roman" w:hAnsi="Times New Roman"/>
          <w:sz w:val="18"/>
          <w:szCs w:val="18"/>
          <w:color w:val="auto"/>
        </w:rPr>
        <w:t>. Pursuant to our amended and restated certificate of incorporation, no agreement or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for the dissolution, liquidation, merger or consolidation of SpinCo or the sale, lease or transfer of substantially all of its assets, will be effective, unless approved by the affirmative vote of not less than two-thirds of the votes of all the shares of stock outstanding and entitled to vote thereon.</w:t>
      </w:r>
    </w:p>
    <w:p>
      <w:pPr>
        <w:spacing w:after="0" w:line="18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Board Composition and Powers</w:t>
      </w:r>
      <w:r>
        <w:rPr>
          <w:rFonts w:ascii="Times New Roman" w:cs="Times New Roman" w:eastAsia="Times New Roman" w:hAnsi="Times New Roman"/>
          <w:sz w:val="18"/>
          <w:szCs w:val="18"/>
          <w:color w:val="auto"/>
        </w:rPr>
        <w:t>. The amended and restated bylaws will provide that a majority of the SpinCo Board may remove any officer or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SpinCo Board committee with or without cause. The SpinCo Board will have the power to fix the number of directors by resolution, subject to our amended and restated bylaws’ requirement that the SpinCo Board consist of not fewer than three nor more than 11 directors. Vacancies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66" w:right="459" w:bottom="1440" w:gutter="0" w:footer="0" w:header="0"/>
        </w:sectPr>
      </w:pPr>
    </w:p>
    <w:bookmarkStart w:id="155" w:name="page156"/>
    <w:bookmarkEnd w:id="155"/>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newly created directorships resulting from any increase in the authorized number of directors may be filled by a majority of the directors then in office, even though less than a quorum, and the directors chosen in this manner will hold office until a successor is chosen and qualified.</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The amended and restated bylaws will provide that in order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SpinCo stockholder to make a nomination or propose business at an annual meeting of SpinCo stockholders, a SpinCo stockholder’s notice must be received at the principal executive offices of SpinCo not less than 90 days nor more than 120 days prior to the anniversary date of the immediately preceding annual meeting of SpinCo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annual meeting is called for a date that is not within 30 days before or after such anniversary date, notice by the stockholder in order to be timely must be so received not later than the close of business on the tenth day following the day on which such notice of the date of the annual meeting was mailed or public disclosure of the date of the annual meeting was made, whichever occurs first.</w:t>
      </w:r>
    </w:p>
    <w:p>
      <w:pPr>
        <w:spacing w:after="0" w:line="18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The amended and restated bylaws will prohibit the ability of SpinCo stockholders to call special meetings of SpinCo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Special meetings of SpinCo stockholders may be called for any purpose at any time upon the call of only the Chairman of the SpinCo Board, the President or a majority of the SpinCo Board.</w:t>
      </w:r>
    </w:p>
    <w:p>
      <w:pPr>
        <w:spacing w:after="0" w:line="17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Pursuant to the amended and restated certificate of incorporation, SpinCo will be able to issue preferred stock in ways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delay, defer or prevent a change of control of SpinCo without further action by the SpinCo stockholders.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Delaware law provides that, unless otherwise stated in the certificate of incorporation, any action which may be taken at an annual meeting or special meeting of stockholders may be taken without a meeting if a consent in writing is signed by the holders of the outstanding stock having the minimum number of votes necessary to authorize the action at a meeting of stockholders. Our amended and restated certificate of incorporation will not expressly eliminate the right of our stockholders to act by written consent and, as such, stockholder action may be taken without a meeting in the manner prescribed by the DGCL.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Cumulative Voting</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Under Delaware law, cumulative voting for the election of directors is not permitted unless a corporation’s certificate of incorporation authorizes cumulative voting.</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will not provide for cumulative voting in the election of directors. The absence of cumulative voting will make it more difficult for a minority stockholder to gain a seat on the SpinCo Board to influence the SpinCo Board’s decision regarding a takeover.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Subject to the requirements of Nasdaq and other applicable law, authorized but unissued shares of SpinCo common stock may be available for future issuance without stockholder approval. SpinCo may use these additional shares for a variety of corporate purposes, including future public offerings to raise additional capital, corporate acquisitions and employee benefit plans. The existence of authorized but unissued shares of SpinCo common stock could render more difficult or discourage an attempt to obtain control of SpinCo by means of a proxy contest, tender offer, merger or otherwise.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900"/>
          </w:cols>
          <w:pgMar w:left="440" w:top="270" w:right="5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of Provisions in Certificate of Incorporation and Bylaws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amended and restated certificate of incorporation may be amended in accordance with Delaware law. The amended and restated bylaws will provide that our amended and restated bylaws, or any of them, may be altered, amended or repealed, and new bylaws may be adopted, (i) by the affirmative vote of at least a majority of the entire SpinCo Board or (ii) by the affirmative vote of the holders of a majority of outstanding capital stock entitled to vote thereon.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Court of Chancery of the State of Delaware will be the sole and exclusive forum for (i) any derivative action or proceeding brought on our behalf, (ii) any action asserting a claim of breach of a duty (including any fiduciary duty) owed by any of our current or former directors, officers, employees or agents to us or our stockholders, (iii) any action asserting a claim against us or any of our current or former directors or officers or other employees arising pursuant to any provision of the DGCL, or our amended and restated certificate of incorporation or our amended and restated bylaws, or as to which the DGCL confers jurisdiction on the Court of Chancery of the State of Delaware, or (iv) any action asserting a claim against us or any of our current or former directors or officers or other employees governed by the internal affairs doctrine of the law of the State of Delaware. Our amended and restated certificate of incorporation will also provide that, unless we consent in writing to the selection of an alternative forum, the federal district courts of the United States of America will, to the fullest extent permitted by law, be the sole and exclusive forum for resolving any complaint asserting a cause of action arising under the Securities Act.</w:t>
      </w:r>
    </w:p>
    <w:p>
      <w:pPr>
        <w:spacing w:after="0" w:line="1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Moreover, Section 27 of the Exchange Act creates exclusive federal jurisdiction over all claims brought to enforce any duty or liability created by the Exchange Act or the rules and regulations thereunder and our amended and restated certificate of incorporation will provide that the exclusive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also provide that any person or entity purchasing or otherwise acquiring any interest in shares of SpinCo common stock will be deemed to have notice of and to have consented to the foregoing provisions; provided, however, that stockholders will not be deemed to have waived our compliance with the federal securities laws and the rules and regulations thereunder. We recognize that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the ability of our stockholders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more information on the risks associated with our choice of forum provision, see “Risk Factors—Risks Related to SpinCo Common Stock—Our amended and restated certificate of incorporation will provide that certain courts in the State of Delaware or the federal district courts of the United States will be the sole and exclusive forum for substantially all disputes between us and our stockholders, which could limit our stockholders’ ability to bring or obtain a favorable judicial forum for such disputes and may discourage lawsuits against us and any of our directors, officers or other employees.”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60"/>
          </w:cols>
          <w:pgMar w:left="440" w:top="266" w:right="49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Comparison of Rights of Holders of Middleby Common Stock and SpinCo Common Stock</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expect that the rights associated with owning shares of SpinCo common stock will generally be the same as those associated with owning shares of Middleby common stock, except with respect to the exclusive forum provisions in our amended and restated certificate of incorporation, which will provide that Delaware courts will be the exclusive forum for any stockholder derivative action and for certain other types of claims brought against us, and that the federal district courts of the United States will be the exclusive forum for any claims arising under the Securities Act (versus no such provision in Middleby’s organizational documents).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on Director and Officer Liability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DGCL, SpinCo may indemnify any person who was or is a party or is threatened to be made a party to any threatened, pending or completed action, suit or proceeding, whether civil, criminal, administrative or investigative (other than an action by or in the right of SpinCo), by reason of the fact that they are or were SpinCo’s director, officer, employee or agent, or are or were serving at SpinCo’s request as a director, officer, employee or agent of another corporation, partnership, joint venture, trust or other enterprise, against expenses (including attorneys’ fees), judgments, fines and amounts paid in settlement actually and reasonably incurred in connection with such action, suit or proceeding if they acted in good faith and in a manner they reasonably believed to be in or not opposed to SpinCo’s best interests and, with respect to any criminal action or proceeding, had no reasonable cause to believe their conduct was unlawful. Under the provisions of our amended and restated certificate of incorporation and bylaws, each of our directors, officers, employees and agents will be indemnified by us as of right to the fullest extent permitted by law.</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Section 102(b)(7) of the DGCL authorizes corporations to limit or eliminate the personal liability of directors and officers to the corporation and its stockholders for monetary damages for breach of fiduciary duty as a director or officer, as applicable. Our amended and restated certificate of incorporation will contain such a director exculpation provision.</w:t>
      </w:r>
    </w:p>
    <w:p>
      <w:pPr>
        <w:spacing w:after="0" w:line="17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that will be in our amended and restated certificate of incorporation and bylaws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will not limit or eliminate our rights, or those of any stockholder, to seek non-monetary relief such as an injunction or rescission in the event of a breach of a director’s duty of care. The provisions will not alter the liability of directors under the federal securities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July 18, 2025, we issued 100 shares of SpinCo common stock to Middleby Marshall Inc . We did not register the issuance of these securities under the Securities Act because each issuance did not constitute a public offering and therefore was exempt from registration pursuant to Section 4(a)(2) of the Securities Act.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We expect that the transfer agent and registrar for the shares of SpinCo common stock will be Computershare Trust Company, N.A. The transfer agent and registrar’s address is 150 Royall Street, Canton, MA 02021.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66" w:right="459" w:bottom="1440" w:gutter="0" w:footer="0" w:header="0"/>
        </w:sectPr>
      </w:pPr>
    </w:p>
    <w:bookmarkStart w:id="158" w:name="page159"/>
    <w:bookmarkEnd w:id="15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YOU CAN FIND MORE INFORMATION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10 with respect to the shares of SpinCo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us and SpinCo common stock, please refer to the registration statement, including its other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on the website maintained by the SEC at www.sec.gov.</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result of the distribution, SpinCo will become subject to the information and reporting requirements of the Exchange Act and, in accordance with the Exchange Act, we will file periodic reports (including annual reports on Form 10-K, quarterly reports on Form 10-Q and current reports on Form 8-K), proxy statements and other information with the SEC. The SEC maintains a website, www.sec.gov, that contains periodic reports, proxy statements and information statements and other information regarding issuers, like us, that file electronically with the SEC. The registration statement, including its exhibits and schedules, and the periodic reports, proxy statements and information statements and other information that we file with the SEC will be available for your review at the SEC’s website.</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You can also find a copy of the registration statement, and our annual reports on Form 10-K, quarterly reports on Form 10-Q, current reports on Form 8-K and amendments to those reports, in each case when available and when filed with or furnished to the SEC pursuant to the Exchange Act, on our website, www.midera.com (which we expect to be operational on or prior to the distribution date).</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Information contained on, or connected to, or accessible from, any website referenced in this information statement does not and will not constitute a part of this information statement or the registration statement of which this information statement is a part.</w:t>
      </w:r>
    </w:p>
    <w:p>
      <w:pPr>
        <w:spacing w:after="0" w:line="26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940"/>
          </w:cols>
          <w:pgMar w:left="440" w:top="266" w:right="51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20" w:type="dxa"/>
            <w:vAlign w:val="bottom"/>
            <w:gridSpan w:val="8"/>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INDEX TO COMBINED FINANCIAL STATEMENTS</w:t>
            </w:r>
          </w:p>
        </w:tc>
        <w:tc>
          <w:tcPr>
            <w:tcW w:w="1840" w:type="dxa"/>
            <w:vAlign w:val="bottom"/>
          </w:tcPr>
          <w:p>
            <w:pPr>
              <w:spacing w:after="0"/>
              <w:rPr>
                <w:sz w:val="20"/>
                <w:szCs w:val="20"/>
                <w:color w:val="auto"/>
              </w:rPr>
            </w:pPr>
          </w:p>
        </w:tc>
      </w:tr>
      <w:tr>
        <w:trPr>
          <w:trHeight w:val="441"/>
        </w:trPr>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Audited Combined Financial Statements</w:t>
            </w:r>
          </w:p>
        </w:tc>
        <w:tc>
          <w:tcPr>
            <w:tcW w:w="1840" w:type="dxa"/>
            <w:vAlign w:val="bottom"/>
          </w:tcPr>
          <w:p>
            <w:pPr>
              <w:spacing w:after="0"/>
              <w:rPr>
                <w:sz w:val="24"/>
                <w:szCs w:val="24"/>
                <w:color w:val="auto"/>
              </w:rPr>
            </w:pPr>
          </w:p>
        </w:tc>
      </w:tr>
      <w:tr>
        <w:trPr>
          <w:trHeight w:val="194"/>
        </w:trPr>
        <w:tc>
          <w:tcPr>
            <w:tcW w:w="422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4900" w:type="dxa"/>
            <w:vAlign w:val="bottom"/>
            <w:gridSpan w:val="4"/>
          </w:tcPr>
          <w:p>
            <w:pPr>
              <w:spacing w:after="0"/>
              <w:rPr>
                <w:sz w:val="16"/>
                <w:szCs w:val="16"/>
                <w:color w:val="auto"/>
              </w:rPr>
            </w:pPr>
          </w:p>
        </w:tc>
        <w:tc>
          <w:tcPr>
            <w:tcW w:w="18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196"/>
        </w:trPr>
        <w:tc>
          <w:tcPr>
            <w:tcW w:w="9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Combined Balance Sheets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18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Combined Statements of Earnings</w:t>
            </w:r>
          </w:p>
        </w:tc>
        <w:tc>
          <w:tcPr>
            <w:tcW w:w="6660" w:type="dxa"/>
            <w:vAlign w:val="bottom"/>
            <w:gridSpan w:val="1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35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Comprehensive Income</w:t>
            </w:r>
          </w:p>
        </w:tc>
        <w:tc>
          <w:tcPr>
            <w:tcW w:w="5580" w:type="dxa"/>
            <w:vAlign w:val="bottom"/>
            <w:gridSpan w:val="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9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Changes in Parent Company Net Investment</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50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Cash Flows</w:t>
            </w:r>
          </w:p>
        </w:tc>
        <w:tc>
          <w:tcPr>
            <w:tcW w:w="4100" w:type="dxa"/>
            <w:vAlign w:val="bottom"/>
            <w:gridSpan w:val="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6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Combined Financial Statements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7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26"/>
        </w:trPr>
        <w:tc>
          <w:tcPr>
            <w:tcW w:w="91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Interim Unaudited Condensed Combined Financial Statements</w:t>
            </w:r>
          </w:p>
        </w:tc>
        <w:tc>
          <w:tcPr>
            <w:tcW w:w="1840" w:type="dxa"/>
            <w:vAlign w:val="bottom"/>
          </w:tcPr>
          <w:p>
            <w:pPr>
              <w:spacing w:after="0"/>
              <w:rPr>
                <w:sz w:val="24"/>
                <w:szCs w:val="24"/>
                <w:color w:val="auto"/>
              </w:rPr>
            </w:pPr>
          </w:p>
        </w:tc>
      </w:tr>
      <w:tr>
        <w:trPr>
          <w:trHeight w:val="194"/>
        </w:trPr>
        <w:tc>
          <w:tcPr>
            <w:tcW w:w="91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Condensed Combined Balance Sheets</w:t>
            </w:r>
          </w:p>
        </w:tc>
        <w:tc>
          <w:tcPr>
            <w:tcW w:w="18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F-30</w:t>
            </w:r>
          </w:p>
        </w:tc>
      </w:tr>
      <w:tr>
        <w:trPr>
          <w:trHeight w:val="20"/>
        </w:trPr>
        <w:tc>
          <w:tcPr>
            <w:tcW w:w="2720" w:type="dxa"/>
            <w:vAlign w:val="bottom"/>
            <w:gridSpan w:val="4"/>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Earnings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F-31</w:t>
            </w:r>
          </w:p>
        </w:tc>
      </w:tr>
      <w:tr>
        <w:trPr>
          <w:trHeight w:val="20"/>
        </w:trPr>
        <w:tc>
          <w:tcPr>
            <w:tcW w:w="330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Comprehensive Income</w:t>
            </w:r>
          </w:p>
        </w:tc>
        <w:tc>
          <w:tcPr>
            <w:tcW w:w="4740" w:type="dxa"/>
            <w:vAlign w:val="bottom"/>
            <w:gridSpan w:val="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r>
      <w:tr>
        <w:trPr>
          <w:trHeight w:val="196"/>
        </w:trPr>
        <w:tc>
          <w:tcPr>
            <w:tcW w:w="9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Changes in Parent Company Net Investment</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F-33</w:t>
            </w:r>
          </w:p>
        </w:tc>
      </w:tr>
      <w:tr>
        <w:trPr>
          <w:trHeight w:val="196"/>
        </w:trPr>
        <w:tc>
          <w:tcPr>
            <w:tcW w:w="58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Cash Flows</w:t>
            </w:r>
          </w:p>
        </w:tc>
        <w:tc>
          <w:tcPr>
            <w:tcW w:w="3260" w:type="dxa"/>
            <w:vAlign w:val="bottom"/>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F-34</w:t>
            </w:r>
          </w:p>
        </w:tc>
      </w:tr>
      <w:tr>
        <w:trPr>
          <w:trHeight w:val="20"/>
        </w:trPr>
        <w:tc>
          <w:tcPr>
            <w:tcW w:w="3500" w:type="dxa"/>
            <w:vAlign w:val="bottom"/>
            <w:gridSpan w:val="7"/>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1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Combined Financial Statements</w:t>
            </w:r>
          </w:p>
        </w:tc>
        <w:tc>
          <w:tcPr>
            <w:tcW w:w="1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F-35</w:t>
            </w:r>
          </w:p>
        </w:tc>
      </w:tr>
      <w:tr>
        <w:trPr>
          <w:trHeight w:val="385"/>
        </w:trPr>
        <w:tc>
          <w:tcPr>
            <w:tcW w:w="18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00" w:type="dxa"/>
            <w:vAlign w:val="bottom"/>
            <w:gridSpan w:val="2"/>
          </w:tcPr>
          <w:p>
            <w:pPr>
              <w:jc w:val="center"/>
              <w:ind w:right="3140"/>
              <w:spacing w:after="0"/>
              <w:rPr>
                <w:sz w:val="20"/>
                <w:szCs w:val="20"/>
                <w:color w:val="auto"/>
              </w:rPr>
            </w:pPr>
            <w:r>
              <w:rPr>
                <w:rFonts w:ascii="Times New Roman" w:cs="Times New Roman" w:eastAsia="Times New Roman" w:hAnsi="Times New Roman"/>
                <w:sz w:val="18"/>
                <w:szCs w:val="18"/>
                <w:color w:val="auto"/>
                <w:w w:val="95"/>
              </w:rPr>
              <w:t>F-1</w:t>
            </w:r>
          </w:p>
        </w:tc>
        <w:tc>
          <w:tcPr>
            <w:tcW w:w="1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0" w:name="page161"/>
    <w:bookmarkEnd w:id="160"/>
    <w:p>
      <w:pPr>
        <w:ind w:left="2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Middleby Corporation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Middleby Corporation’s Food Processing Equipment Group (the Company) as of January 3, 2026 and December 28, 2024, the related Combined Statements of Earnings, Comprehensive Income, Changes in Parent Company Net Investment and Cash Flows for each of the three years in the period ended January 3, 2026, and the related notes (collectively referred to as the “combined financial statements”). In our opinion, the combined financial statements present fairly, in all material respects, the financial position of the Company at January 3, 2026 and December 28, 2024, and the results of its operations and its cash flows for each of the three years in the period ended January 3, 2026, in conformity with U.S. generally accepted accounting principles.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2026</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0980"/>
          </w:cols>
          <w:pgMar w:left="440" w:top="266" w:right="479" w:bottom="1440" w:gutter="0" w:footer="0" w:header="0"/>
        </w:sectPr>
      </w:pPr>
    </w:p>
    <w:bookmarkStart w:id="161" w:name="page162"/>
    <w:bookmarkEnd w:id="161"/>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MIDDLEBY FOOD PROCESSING GROUP</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COMBINED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JANUARY 3, 2026 AND DECEMBER 28, 2024</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66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80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90,913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59,221</w:t>
            </w:r>
          </w:p>
        </w:tc>
        <w:tc>
          <w:tcPr>
            <w:tcW w:w="0" w:type="dxa"/>
            <w:vAlign w:val="bottom"/>
          </w:tcPr>
          <w:p>
            <w:pPr>
              <w:spacing w:after="0"/>
              <w:rPr>
                <w:sz w:val="1"/>
                <w:szCs w:val="1"/>
                <w:color w:val="auto"/>
              </w:rPr>
            </w:pPr>
          </w:p>
        </w:tc>
      </w:tr>
      <w:tr>
        <w:trPr>
          <w:trHeight w:val="216"/>
        </w:trPr>
        <w:tc>
          <w:tcPr>
            <w:tcW w:w="8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Accounts receivable, net of reserve for doubtful accounts of $9,140 and $6,802</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215,310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171,256</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6,103</w:t>
            </w:r>
          </w:p>
        </w:tc>
        <w:tc>
          <w:tcPr>
            <w:tcW w:w="0" w:type="dxa"/>
            <w:vAlign w:val="bottom"/>
          </w:tcPr>
          <w:p>
            <w:pPr>
              <w:spacing w:after="0"/>
              <w:rPr>
                <w:sz w:val="1"/>
                <w:szCs w:val="1"/>
                <w:color w:val="auto"/>
              </w:rPr>
            </w:pPr>
          </w:p>
        </w:tc>
      </w:tr>
      <w:tr>
        <w:trPr>
          <w:trHeight w:val="216"/>
        </w:trPr>
        <w:tc>
          <w:tcPr>
            <w:tcW w:w="8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193,571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151,687</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79,584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75,953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581,562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464,220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163,246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119,379</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502,317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461,889</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173,256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165,810</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loans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11,656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45,610</w:t>
            </w: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27,610</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25,733</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1,461,013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4,765</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77,148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53,995</w:t>
            </w:r>
          </w:p>
        </w:tc>
        <w:tc>
          <w:tcPr>
            <w:tcW w:w="0" w:type="dxa"/>
            <w:vAlign w:val="bottom"/>
          </w:tcPr>
          <w:p>
            <w:pPr>
              <w:spacing w:after="0"/>
              <w:rPr>
                <w:sz w:val="1"/>
                <w:szCs w:val="1"/>
                <w:color w:val="auto"/>
              </w:rPr>
            </w:pPr>
          </w:p>
        </w:tc>
      </w:tr>
      <w:tr>
        <w:trPr>
          <w:trHeight w:val="216"/>
        </w:trPr>
        <w:tc>
          <w:tcPr>
            <w:tcW w:w="8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217,187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150,434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301,206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28,722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6,450</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Related party loans payable</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35,100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25,263</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35,248</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38,104</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 company net investment: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 (NPI)</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1,088,251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1,038,094</w:t>
            </w:r>
          </w:p>
        </w:tc>
        <w:tc>
          <w:tcPr>
            <w:tcW w:w="0" w:type="dxa"/>
            <w:vAlign w:val="bottom"/>
          </w:tcPr>
          <w:p>
            <w:pPr>
              <w:spacing w:after="0"/>
              <w:rPr>
                <w:sz w:val="1"/>
                <w:szCs w:val="1"/>
                <w:color w:val="auto"/>
              </w:rPr>
            </w:pPr>
          </w:p>
        </w:tc>
      </w:tr>
      <w:tr>
        <w:trPr>
          <w:trHeight w:val="223"/>
        </w:trPr>
        <w:tc>
          <w:tcPr>
            <w:tcW w:w="8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(27,514)</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(38,307)</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Parent company net investment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liabilities and Parent company net investment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1,461,013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The accompanying Notes to Combined Financial Statements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are an integral part of these combined financial statements.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20"/>
          </w:cols>
          <w:pgMar w:left="440" w:top="266" w:right="439" w:bottom="1440" w:gutter="0" w:footer="0" w:header="0"/>
        </w:sectPr>
      </w:pPr>
    </w:p>
    <w:bookmarkStart w:id="162" w:name="page163"/>
    <w:bookmarkEnd w:id="162"/>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MIDDLEBY FOOD PROCESSING GROUP</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COMBINED STATEMENTS OF EARNINGS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FOR THE FISCAL YEARS ENDED JANUARY 3, 2026, DECEMBER 28, 2024, AND DECEMBER 30,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853,157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$771,996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$759,268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544,283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470,970</w:t>
            </w:r>
          </w:p>
        </w:tc>
      </w:tr>
      <w:tr>
        <w:trPr>
          <w:trHeight w:val="27"/>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308,874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288,298</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207,023</w:t>
            </w:r>
          </w:p>
        </w:tc>
        <w:tc>
          <w:tcPr>
            <w:tcW w:w="3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146,619</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138,509</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2,620</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1,839</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plant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(1,139)</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101,332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147,950</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(2,018)</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(2,168)</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(8,694)</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(1,147)</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(8,765)</w:t>
            </w:r>
          </w:p>
        </w:tc>
      </w:tr>
      <w:tr>
        <w:trPr>
          <w:trHeight w:val="22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112,044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120" w:type="dxa"/>
            <w:vAlign w:val="bottom"/>
          </w:tcPr>
          <w:p>
            <w:pPr>
              <w:spacing w:after="0"/>
              <w:rPr>
                <w:sz w:val="19"/>
                <w:szCs w:val="19"/>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29,346</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38,367</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37,848</w:t>
            </w:r>
          </w:p>
        </w:tc>
      </w:tr>
      <w:tr>
        <w:trPr>
          <w:trHeight w:val="223"/>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earnings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122,279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120,283</w:t>
            </w:r>
          </w:p>
        </w:tc>
        <w:tc>
          <w:tcPr>
            <w:tcW w:w="12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The accompanying Notes to Combined Financial Statements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are an integral part of these combined financial statements.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20"/>
          </w:cols>
          <w:pgMar w:left="440" w:top="266" w:right="439" w:bottom="1440" w:gutter="0" w:footer="0" w:header="0"/>
        </w:sectPr>
      </w:pPr>
    </w:p>
    <w:bookmarkStart w:id="163" w:name="page164"/>
    <w:bookmarkEnd w:id="163"/>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MIDDLEBY FOOD PROCESSING GROUP</w:t>
      </w:r>
    </w:p>
    <w:p>
      <w:pPr>
        <w:spacing w:after="0" w:line="225" w:lineRule="exact"/>
        <w:rPr>
          <w:sz w:val="20"/>
          <w:szCs w:val="20"/>
          <w:color w:val="auto"/>
        </w:rPr>
      </w:pPr>
    </w:p>
    <w:p>
      <w:pPr>
        <w:jc w:val="center"/>
        <w:ind w:right="20"/>
        <w:spacing w:after="0" w:line="27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COMBINED STATEMENTS OF COMPREHENSIVE INCOME FOR THE FISCAL YEARS ENDED JANUARY 3, 2026, DECEMBER 28, 2024, AND DECEMBER 30, 2023 </w:t>
      </w: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33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82,698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$ 122,279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120,283</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10,793</w:t>
            </w:r>
          </w:p>
        </w:tc>
        <w:tc>
          <w:tcPr>
            <w:tcW w:w="10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10,553</w:t>
            </w:r>
          </w:p>
        </w:tc>
      </w:tr>
      <w:tr>
        <w:trPr>
          <w:trHeight w:val="230"/>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7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10,793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(17,784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80" w:type="dxa"/>
            <w:vAlign w:val="bottom"/>
          </w:tcPr>
          <w:p>
            <w:pPr>
              <w:spacing w:after="0"/>
              <w:rPr>
                <w:sz w:val="20"/>
                <w:szCs w:val="20"/>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93,491</w:t>
            </w:r>
          </w:p>
        </w:tc>
        <w:tc>
          <w:tcPr>
            <w:tcW w:w="10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$ 104,495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130,836</w:t>
            </w:r>
          </w:p>
        </w:tc>
      </w:tr>
      <w:tr>
        <w:trPr>
          <w:trHeight w:val="20"/>
        </w:trPr>
        <w:tc>
          <w:tcPr>
            <w:tcW w:w="5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The accompanying Notes to Combined Financial Statements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are an integral part of these combined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MIDDLEBY FOOD PROCESSING GROUP</w:t>
      </w:r>
    </w:p>
    <w:p>
      <w:pPr>
        <w:spacing w:after="0" w:line="225"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COMBINED STATEMENTS OF CHANGES IN PARENT COMPANY NET INVESTMENT FOR THE FISCAL YEARS ENDED JANUARY 3, 2026, DECEMBER 28, 2024, AND DECEMBER 30, 2023 </w:t>
      </w:r>
      <w:r>
        <w:rPr>
          <w:rFonts w:ascii="Times New Roman" w:cs="Times New Roman" w:eastAsia="Times New Roman" w:hAnsi="Times New Roman"/>
          <w:sz w:val="18"/>
          <w:szCs w:val="18"/>
          <w:b w:val="1"/>
          <w:bCs w:val="1"/>
          <w:color w:val="auto"/>
        </w:rPr>
        <w:t>(amounts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gridSpan w:val="3"/>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3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200" w:type="dxa"/>
            <w:vAlign w:val="bottom"/>
          </w:tcPr>
          <w:p>
            <w:pPr>
              <w:spacing w:after="0"/>
              <w:rPr>
                <w:sz w:val="12"/>
                <w:szCs w:val="12"/>
                <w:color w:val="auto"/>
              </w:rPr>
            </w:pPr>
          </w:p>
        </w:tc>
        <w:tc>
          <w:tcPr>
            <w:tcW w:w="1300" w:type="dxa"/>
            <w:vAlign w:val="bottom"/>
            <w:gridSpan w:val="2"/>
          </w:tcPr>
          <w:p>
            <w:pPr>
              <w:jc w:val="center"/>
              <w:ind w:right="6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Parent Company</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3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5"/>
                <w:szCs w:val="15"/>
                <w:color w:val="auto"/>
              </w:rPr>
            </w:pPr>
          </w:p>
        </w:tc>
        <w:tc>
          <w:tcPr>
            <w:tcW w:w="1300" w:type="dxa"/>
            <w:vAlign w:val="bottom"/>
            <w:gridSpan w:val="2"/>
          </w:tcPr>
          <w:p>
            <w:pPr>
              <w:jc w:val="center"/>
              <w:ind w:right="6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841,668</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(31,076</w:t>
            </w:r>
          </w:p>
        </w:tc>
        <w:tc>
          <w:tcPr>
            <w:tcW w:w="540" w:type="dxa"/>
            <w:vAlign w:val="bottom"/>
            <w:tcBorders>
              <w:top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810,592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120,283</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10,553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10,553</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Parent</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(37,239)</w:t>
            </w:r>
          </w:p>
        </w:tc>
        <w:tc>
          <w:tcPr>
            <w:tcW w:w="2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(37,239)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30,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924,712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(20,523)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904,189</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(17,784)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(17,784)</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Parent</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(8,897)</w:t>
            </w:r>
          </w:p>
        </w:tc>
        <w:tc>
          <w:tcPr>
            <w:tcW w:w="2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(8,897)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1,038,094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(38,307)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999,787</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10,793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10,793</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Parent</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(32,541)</w:t>
            </w:r>
          </w:p>
        </w:tc>
        <w:tc>
          <w:tcPr>
            <w:tcW w:w="2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(32,541)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1,088,251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(27,514)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1,060,737</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The accompanying Notes to Combined Financial Statements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are an integral part of these combined financial statements.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20"/>
          </w:cols>
          <w:pgMar w:left="440" w:top="266" w:right="439" w:bottom="1440" w:gutter="0" w:footer="0" w:header="0"/>
        </w:sectPr>
      </w:pPr>
    </w:p>
    <w:bookmarkStart w:id="164" w:name="page165"/>
    <w:bookmarkEnd w:id="164"/>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MIDDLEBY FOOD PROCESSING GROUP</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COMBINED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FOR THE FISCAL YEARS ENDED JANUARY 3, 2026, DECEMBER 28, 2024, AND DECEMBER 30, 2023</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82,698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122,279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120,283</w:t>
            </w:r>
          </w:p>
        </w:tc>
      </w:tr>
      <w:tr>
        <w:trPr>
          <w:trHeight w:val="216"/>
        </w:trPr>
        <w:tc>
          <w:tcPr>
            <w:tcW w:w="7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25,018</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18,819</w:t>
            </w: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8,908</w:t>
            </w:r>
          </w:p>
        </w:tc>
      </w:tr>
      <w:tr>
        <w:trPr>
          <w:trHeight w:val="216"/>
        </w:trPr>
        <w:tc>
          <w:tcPr>
            <w:tcW w:w="7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income taxes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8,597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Gain on sale of plant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Impairment charges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non-cash items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 net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17,405</w:t>
            </w:r>
          </w:p>
        </w:tc>
      </w:tr>
      <w:tr>
        <w:trPr>
          <w:trHeight w:val="216"/>
        </w:trPr>
        <w:tc>
          <w:tcPr>
            <w:tcW w:w="7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Inventories, net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(11,331)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9,098</w:t>
            </w: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14,994</w:t>
            </w:r>
          </w:p>
        </w:tc>
      </w:tr>
      <w:tr>
        <w:trPr>
          <w:trHeight w:val="216"/>
        </w:trPr>
        <w:tc>
          <w:tcPr>
            <w:tcW w:w="7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(19,367)</w:t>
            </w:r>
          </w:p>
        </w:tc>
      </w:tr>
      <w:tr>
        <w:trPr>
          <w:trHeight w:val="216"/>
        </w:trPr>
        <w:tc>
          <w:tcPr>
            <w:tcW w:w="73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(58,297)</w:t>
            </w: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101,638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129,011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111,915</w:t>
            </w:r>
          </w:p>
        </w:tc>
        <w:tc>
          <w:tcPr>
            <w:tcW w:w="120" w:type="dxa"/>
            <w:vAlign w:val="bottom"/>
          </w:tcPr>
          <w:p>
            <w:pPr>
              <w:spacing w:after="0"/>
              <w:rPr>
                <w:sz w:val="20"/>
                <w:szCs w:val="20"/>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(41,449)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(16,307)</w:t>
            </w: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(28,518)</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(19,757)</w:t>
            </w: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Collections on loans to related parties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49,157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25,946</w:t>
            </w: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made to related parties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(26,873)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(35,308)</w:t>
            </w:r>
          </w:p>
        </w:tc>
      </w:tr>
      <w:tr>
        <w:trPr>
          <w:trHeight w:val="27"/>
        </w:trPr>
        <w:tc>
          <w:tcPr>
            <w:tcW w:w="7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(47,683)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(99,733)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(45,426)</w:t>
            </w: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transfers to Parent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(44,964)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(53,592)</w:t>
            </w: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foreign loans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23,224</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deferred purchase price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r>
      <w:tr>
        <w:trPr>
          <w:trHeight w:val="230"/>
        </w:trPr>
        <w:tc>
          <w:tcPr>
            <w:tcW w:w="7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(30,474)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(21,107)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(55,560)</w:t>
            </w:r>
          </w:p>
        </w:tc>
        <w:tc>
          <w:tcPr>
            <w:tcW w:w="120" w:type="dxa"/>
            <w:vAlign w:val="bottom"/>
          </w:tcPr>
          <w:p>
            <w:pPr>
              <w:spacing w:after="0"/>
              <w:rPr>
                <w:sz w:val="20"/>
                <w:szCs w:val="20"/>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cash and cash equivalents:</w:t>
            </w:r>
          </w:p>
        </w:tc>
        <w:tc>
          <w:tcPr>
            <w:tcW w:w="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10,520</w:t>
            </w:r>
          </w:p>
        </w:tc>
      </w:tr>
      <w:tr>
        <w:trPr>
          <w:trHeight w:val="216"/>
        </w:trPr>
        <w:tc>
          <w:tcPr>
            <w:tcW w:w="7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45,560</w:t>
            </w:r>
          </w:p>
        </w:tc>
      </w:tr>
      <w:tr>
        <w:trPr>
          <w:trHeight w:val="27"/>
        </w:trPr>
        <w:tc>
          <w:tcPr>
            <w:tcW w:w="7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90,913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59,221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56,080</w:t>
            </w:r>
          </w:p>
        </w:tc>
      </w:tr>
      <w:tr>
        <w:trPr>
          <w:trHeight w:val="20"/>
        </w:trPr>
        <w:tc>
          <w:tcPr>
            <w:tcW w:w="7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The accompanying Notes to Combined Financial Statements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are an integral part of these combined financial statements.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20"/>
          </w:cols>
          <w:pgMar w:left="440" w:top="266" w:right="439" w:bottom="1440" w:gutter="0" w:footer="0" w:header="0"/>
        </w:sectPr>
      </w:pPr>
    </w:p>
    <w:bookmarkStart w:id="165" w:name="page166"/>
    <w:bookmarkEnd w:id="165"/>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MIDDLEBY FOOD PROCESSING GROUP</w:t>
      </w:r>
    </w:p>
    <w:p>
      <w:pPr>
        <w:spacing w:after="0" w:line="7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COMBINED FINANCIAL STATEMENTS</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FOR THE FISCAL YEARS ENDED JANUARY 3, 2026, DECEMBER 28, 2024, AND DECEMBER 30, 2023</w:t>
      </w:r>
    </w:p>
    <w:p>
      <w:pPr>
        <w:spacing w:after="0" w:line="252" w:lineRule="exact"/>
        <w:rPr>
          <w:sz w:val="20"/>
          <w:szCs w:val="20"/>
          <w:color w:val="auto"/>
        </w:rPr>
      </w:pPr>
    </w:p>
    <w:p>
      <w:pPr>
        <w:ind w:left="424" w:hanging="424"/>
        <w:spacing w:after="0"/>
        <w:tabs>
          <w:tab w:leader="none" w:pos="42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BASIS OF PRESENTATION</w:t>
      </w:r>
    </w:p>
    <w:p>
      <w:pPr>
        <w:spacing w:after="0" w:line="133" w:lineRule="exact"/>
        <w:rPr>
          <w:sz w:val="20"/>
          <w:szCs w:val="20"/>
          <w:color w:val="auto"/>
        </w:rPr>
      </w:pPr>
    </w:p>
    <w:p>
      <w:pPr>
        <w:ind w:left="424" w:hanging="424"/>
        <w:spacing w:after="0"/>
        <w:tabs>
          <w:tab w:leader="none" w:pos="424" w:val="left"/>
        </w:tabs>
        <w:numPr>
          <w:ilvl w:val="0"/>
          <w:numId w:val="8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t>The Middleby Corporation’s Food Processing Equipment Group (the “Middleby Food Processing Group”, “Food Processing Equipment Group”, the “company” or “FPG”) is engaged in the design, manufacture and sale of food processing equipment. The company manufactures and assembles this equipment at thirteen U.S. and sixteen international manufacturing facilities.</w:t>
      </w:r>
    </w:p>
    <w:p>
      <w:pPr>
        <w:spacing w:after="0" w:line="176"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The Food Processing Equipment Group offers a broad portfolio of processing solutions for customers producing protein products, such as bacon, salami and dry cure, sausage and hot dogs, egg bites, poultry, alternative protein, case ready, lunch meat and pet food, and producers of bakery products, such as bread and buns, artisan bread, sweet goods, cakes and muffins, cookies, crackers, pizza and pastries, tortilla and snacks. Through its broad line of products, the company is able to deliver a wide array of cooking solutions to service a variety of food processing requirements demanded by its customers. The company can offer highly integrated solutions that provide a food processing operation a uniquely integrated solution providing for the highest level of food quality, product consistency, and reduced operating costs resulting from increased product yields, increased capacity and greater throughput and reduced labor costs through automation. The products include a comprehensive suite of cooking and baking solutions, including mixers, make-up lines, batch ovens, proofers, conveyor belt ovens, spiral ovens, serpentine ovens and other continuous processing ovens, frying systems, and automated thermal processing systems. The company also provides a comprehensive portfolio of complementary food preparation equipment such as tumblers, massagers, grinders, slicers, reduction and emulsion systems, mixers, blenders, battering equipment, breading equipment, seeding equipment, water cutting systems, food presses, food suspension equipment, filling and depositing solutions and forming equipment, as well as a variety of automated loading and unloading systems, automated washing systems, auto-guided vehicles, food safety, food handling, cooling, freezing, defrosting and packaging equipment. This portfolio of equipment can be integrated to provide customers a highly efficient and customized solution.</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avoidance of doubt, when using the terms “we”, “us” or “our” throughout this report, it is in reference to the company.</w:t>
      </w:r>
    </w:p>
    <w:p>
      <w:pPr>
        <w:spacing w:after="0" w:line="372" w:lineRule="exact"/>
        <w:rPr>
          <w:sz w:val="20"/>
          <w:szCs w:val="20"/>
          <w:color w:val="auto"/>
        </w:rPr>
      </w:pPr>
    </w:p>
    <w:p>
      <w:pPr>
        <w:ind w:left="424" w:hanging="424"/>
        <w:spacing w:after="0"/>
        <w:tabs>
          <w:tab w:leader="none" w:pos="424" w:val="left"/>
        </w:tabs>
        <w:numPr>
          <w:ilvl w:val="0"/>
          <w:numId w:val="8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company has historically operated as part of The Middleby Corporation (“Middleby” or “Parent”) and not as a separate entity. These Combined Financial Statements of the company have been derived from the historical consolidated financial statements and accounting records of the Parent to present the Food Processing Equipment Group’s Combined Financial Statements as if the company had been operated on a standalone basis for the periods presented. The audited historical combined financial statements (together with the notes thereto, the “combined financial statements”) reflect our financial position, results of operations and cash flows as we were historically managed, in conformity with generally accepted accounting principles in the United States (“U.S. GAAP”).</w:t>
      </w:r>
    </w:p>
    <w:p>
      <w:pPr>
        <w:spacing w:after="0" w:line="187"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include the assets, liabilities, net sales and expenses that management has determined are specifically or primarily identifiable to us, as well as direct and indirect costs that are attributable to our operations. Indirect costs have been allocated to us for the purposes of preparing the Combined Financial Statements based on a specific identification basis or, when specific identification is not practicable, a proportional cost allocation method, primarily based on net sales, headcount or other allocation methodologies that are considered to be a reasonable reflection of the utilization of services provided or the benefit received by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04"/>
          </w:cols>
          <w:pgMar w:left="436" w:top="266" w:right="459" w:bottom="1440" w:gutter="0" w:footer="0" w:header="0"/>
        </w:sectPr>
      </w:pPr>
    </w:p>
    <w:bookmarkStart w:id="166" w:name="page167"/>
    <w:bookmarkEnd w:id="166"/>
    <w:p>
      <w:pPr>
        <w:jc w:val="both"/>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during the periods presented. As a result, the financial information included in these Combined Financial Statements may not necessarily reflect what our financial condition, results of operations or cash flows would have been had we been a standalone company during the periods presented, including changes that will occur in our operations and capital structure as a result of becoming a separate company.</w:t>
      </w:r>
    </w:p>
    <w:p>
      <w:pPr>
        <w:spacing w:after="0" w:line="176"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All intercompany transactions and balances within the company have been eliminated. All transactions between the company and the Parent are considered to be settled in the Combined Financial Statements at the time the transaction is recorded, with the exception of indemnified amounts which could potentially be settled in future periods. The effects of the settlement of these transactions between the company and the Parent are reflected in the Combined Statements of Cash Flows as “Net transfers to Parent” within financing activities, and in the Combined Balance Sheets and Combined Statements of Changes in Parent Company Net Investment as “Net Parent Investment”. Other transactions with Middleby subsidiaries that are cash settled are recorded as amounts due to or due from related parties.</w:t>
      </w:r>
    </w:p>
    <w:p>
      <w:pPr>
        <w:spacing w:after="0" w:line="18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preparation of these financial statements requires the company to make estimates and judgments that affect the reported amounts of assets, liabilities, revenues and expenses as well as related disclosures. On an ongoing basis, the company evaluates its estimates and assumptions based on historical experience and various other factors that are believed to be reasonable under the circumstances. Actual results may differ from these estimates under different assumptions or conditions.</w:t>
      </w:r>
    </w:p>
    <w:p>
      <w:pPr>
        <w:spacing w:after="0" w:line="180"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nearest December 31. Fiscal years 2025, 2024 and 2023 ended on January 3, 2026, December 28, 2024 and December 30, 2023, respectively, and included 53, 52 and 52 weeks, respectively.</w:t>
      </w:r>
    </w:p>
    <w:p>
      <w:pPr>
        <w:spacing w:after="0" w:line="308" w:lineRule="exact"/>
        <w:rPr>
          <w:sz w:val="20"/>
          <w:szCs w:val="20"/>
          <w:color w:val="auto"/>
        </w:rPr>
      </w:pPr>
    </w:p>
    <w:p>
      <w:pPr>
        <w:ind w:left="424" w:hanging="424"/>
        <w:spacing w:after="0"/>
        <w:tabs>
          <w:tab w:leader="none" w:pos="424" w:val="left"/>
        </w:tabs>
        <w:numPr>
          <w:ilvl w:val="0"/>
          <w:numId w:val="8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year presentation.</w:t>
      </w:r>
    </w:p>
    <w:p>
      <w:pPr>
        <w:spacing w:after="0" w:line="370" w:lineRule="exact"/>
        <w:rPr>
          <w:sz w:val="20"/>
          <w:szCs w:val="20"/>
          <w:color w:val="auto"/>
        </w:rPr>
      </w:pPr>
    </w:p>
    <w:p>
      <w:pPr>
        <w:ind w:left="424" w:hanging="424"/>
        <w:spacing w:after="0"/>
        <w:tabs>
          <w:tab w:leader="none" w:pos="42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jc w:val="center"/>
        <w:ind w:right="336"/>
        <w:spacing w:after="0" w:line="454" w:lineRule="auto"/>
        <w:rPr>
          <w:sz w:val="20"/>
          <w:szCs w:val="20"/>
          <w:color w:val="auto"/>
        </w:rPr>
      </w:pPr>
      <w:r>
        <w:rPr>
          <w:rFonts w:ascii="Times New Roman" w:cs="Times New Roman" w:eastAsia="Times New Roman" w:hAnsi="Times New Roman"/>
          <w:sz w:val="18"/>
          <w:szCs w:val="18"/>
          <w:color w:val="auto"/>
        </w:rPr>
        <w:t>The following represents summarized information on acquisitions made by FPG legal entities in 2024 and 2025 that were not individually material. F-8</w:t>
      </w:r>
    </w:p>
    <w:p>
      <w:pPr>
        <w:sectPr>
          <w:pgSz w:w="11900" w:h="16838" w:orient="portrait"/>
          <w:cols w:equalWidth="0" w:num="1">
            <w:col w:w="10964"/>
          </w:cols>
          <w:pgMar w:left="436" w:top="270"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2024 Acquisitions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2024, the company completed various acquisitions that were not individually material. The final allocation of consideration paid, which included a combination of cash paid by FPG and issuance of Middleby common stock, for the 2024 acquisitions is summarized as follows: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6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Opening</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Opening</w:t>
            </w:r>
          </w:p>
        </w:tc>
        <w:tc>
          <w:tcPr>
            <w:tcW w:w="0" w:type="dxa"/>
            <w:vAlign w:val="bottom"/>
          </w:tcPr>
          <w:p>
            <w:pPr>
              <w:spacing w:after="0"/>
              <w:rPr>
                <w:sz w:val="1"/>
                <w:szCs w:val="1"/>
                <w:color w:val="auto"/>
              </w:rPr>
            </w:pPr>
          </w:p>
        </w:tc>
      </w:tr>
      <w:tr>
        <w:trPr>
          <w:trHeight w:val="173"/>
        </w:trPr>
        <w:tc>
          <w:tcPr>
            <w:tcW w:w="5080" w:type="dxa"/>
            <w:vAlign w:val="bottom"/>
            <w:vMerge w:val="continue"/>
          </w:tcPr>
          <w:p>
            <w:pPr>
              <w:spacing w:after="0"/>
              <w:rPr>
                <w:sz w:val="15"/>
                <w:szCs w:val="15"/>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340" w:type="dxa"/>
            <w:vAlign w:val="bottom"/>
          </w:tcPr>
          <w:p>
            <w:pPr>
              <w:spacing w:after="0"/>
              <w:rPr>
                <w:sz w:val="15"/>
                <w:szCs w:val="15"/>
                <w:color w:val="auto"/>
              </w:rPr>
            </w:pPr>
          </w:p>
        </w:tc>
        <w:tc>
          <w:tcPr>
            <w:tcW w:w="12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asset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(40,110)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(39,315)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(9,095)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Consideration paid at closing</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97,027</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payments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 and liabilities assumed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recognized is attributable primarily to anticipated growth opportunities and synergies with existing businesses. The goodwill and</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$10.8 million of other intangibles associated with the trade names are subject to the non-amortization provisions of Accounting Standards Codification (“ASC”) 350. Other intangibles also include $10.0 million allocated to customer relationships, $1.2 million allocated to developed technology, and $2.0 million allocated to backlog, which are being amortized over periods of 5 to 7 years, 7 years, and 6 to 9 months, respectively. Of these assets, goodwill of $40.1 million and intangibles of $19.8 million are expected to be deductible for tax purposes.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purchase agreement included earnout provisions providing for a contingent payment due to the sellers for the achievement of certain targets. The earnout is payable to the extent certain EBITDA targets are met with a measurement date ending in 2026. The contractual obligation associated with the contingent earnout provision recognized on the acquisition date amounts to $7.1 million.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0980"/>
          </w:cols>
          <w:pgMar w:left="440" w:top="268"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2025 Acquisitions</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2025, the company completed various acquisitions that were not individually material. The preliminary allocation of cash consideration paid to assets acquired and liabilities assumed is based on the information that was available as of the acquisition date for the 2025 acquisitions and is summarized as follows:</w:t>
      </w:r>
    </w:p>
    <w:p>
      <w:pPr>
        <w:spacing w:after="0" w:line="18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Opening</w:t>
            </w:r>
          </w:p>
        </w:tc>
        <w:tc>
          <w:tcPr>
            <w:tcW w:w="0" w:type="dxa"/>
            <w:vAlign w:val="bottom"/>
          </w:tcPr>
          <w:p>
            <w:pPr>
              <w:spacing w:after="0"/>
              <w:rPr>
                <w:sz w:val="1"/>
                <w:szCs w:val="1"/>
                <w:color w:val="auto"/>
              </w:rPr>
            </w:pPr>
          </w:p>
        </w:tc>
      </w:tr>
      <w:tr>
        <w:trPr>
          <w:trHeight w:val="173"/>
        </w:trPr>
        <w:tc>
          <w:tcPr>
            <w:tcW w:w="65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(36,709)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(10,064)</w:t>
            </w: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Consideration paid at closing</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 and liabilities assumed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recognized is attributable primarily to anticipated growth opportunities and synergies with existing businesses. The goodwill and</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$4.6 million of other intangibles associated with the trade names are subject to the non-amortization provisions of ASC 350. Other intangibles also include $2.6 million allocated to customer relationships, $1.1 million allocated to developed technology, and $2.0 million allocated to backlog, which are being amortized over periods of 7 years, 7 years, and 6 months, respectively. Of these assets, goodwill of $7.6 million and intangibles of $5.5 million are expected to be deductible for tax purposes.</w:t>
      </w:r>
    </w:p>
    <w:p>
      <w:pPr>
        <w:spacing w:after="0" w:line="18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Two purchase agreements included earnout provisions providing for contingent payments due to the sellers for the achievement of certain targets. The earnouts are payable to the extent certain EBITDA targets are met with measurement dates ending in 2028. The contractual obligation associated with the contingent earnout provisions recognized on the acquisition date amounts to $4.7 million.</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believes that information gathered to date provides a reasonable basis for estimating the fair values of assets acquired and liabilities assumed, but the company is waiting for additional information necessary to finalize those fair values for the acquisitions completed during 2025. Certain intangible assets are preliminarily valued using historical information from the Food Processing Equipment Group and qualitative assessment of the businesses at the respective acquisition dates. Specifically, the company estimated the fair values of the intangible assets based on the percentage of purchase price assigned to similar intangible assets in previous acquisitions. Thus, the provisional measurements of fair values set forth above are subject to change. The company expects to complete the purchase price allocation as soon as practicable but no later than one year from the acquisition date.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Financial Information</w:t>
      </w:r>
    </w:p>
    <w:p>
      <w:pPr>
        <w:spacing w:after="0" w:line="11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following unaudited pro forma results of operations for the fiscal years ended January 3, 2026 and December 28, 2024 assumes the 2025 and 2024 acquisitions described above were completed on December 31, 2023 (first day of fiscal year 2024). The following pro forma results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00"/>
          </w:cols>
          <w:pgMar w:left="440" w:top="268" w:right="459" w:bottom="1440" w:gutter="0" w:footer="0" w:header="0"/>
        </w:sectPr>
      </w:pPr>
    </w:p>
    <w:bookmarkStart w:id="169" w:name="page170"/>
    <w:bookmarkEnd w:id="169"/>
    <w:p>
      <w:pPr>
        <w:ind w:left="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 adjustments to reflect amortization of intangibles associated with the acquisitions and the effects of adjustments made to the carrying value of certain assets: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40" w:type="dxa"/>
            <w:vAlign w:val="bottom"/>
            <w:gridSpan w:val="2"/>
          </w:tcPr>
          <w:p>
            <w:pPr>
              <w:ind w:left="29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$873,166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$ 889,105</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680" w:type="dxa"/>
            <w:vAlign w:val="bottom"/>
            <w:gridSpan w:val="3"/>
          </w:tcPr>
          <w:p>
            <w:pPr>
              <w:ind w:left="2960"/>
              <w:spacing w:after="0"/>
              <w:rPr>
                <w:sz w:val="20"/>
                <w:szCs w:val="20"/>
                <w:color w:val="auto"/>
              </w:rPr>
            </w:pPr>
            <w:r>
              <w:rPr>
                <w:rFonts w:ascii="Times New Roman" w:cs="Times New Roman" w:eastAsia="Times New Roman" w:hAnsi="Times New Roman"/>
                <w:sz w:val="18"/>
                <w:szCs w:val="18"/>
                <w:color w:val="auto"/>
              </w:rPr>
              <w:t>86,172</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120,580</w:t>
            </w:r>
          </w:p>
        </w:tc>
      </w:tr>
    </w:tbl>
    <w:p>
      <w:pPr>
        <w:spacing w:after="0" w:line="179" w:lineRule="exact"/>
        <w:rPr>
          <w:sz w:val="20"/>
          <w:szCs w:val="20"/>
          <w:color w:val="auto"/>
        </w:rPr>
      </w:pPr>
    </w:p>
    <w:p>
      <w:pPr>
        <w:ind w:left="4" w:right="280"/>
        <w:spacing w:after="0" w:line="266" w:lineRule="auto"/>
        <w:rPr>
          <w:sz w:val="20"/>
          <w:szCs w:val="20"/>
          <w:color w:val="auto"/>
        </w:rPr>
      </w:pPr>
      <w:r>
        <w:rPr>
          <w:rFonts w:ascii="Times New Roman" w:cs="Times New Roman" w:eastAsia="Times New Roman" w:hAnsi="Times New Roman"/>
          <w:sz w:val="18"/>
          <w:szCs w:val="18"/>
          <w:color w:val="auto"/>
        </w:rPr>
        <w:t>Pro forma data may not be indicative of the results that would have been obtained had these acquisitions occurred at the beginning of the periods presented, nor is it intended to be a projection of future results. Additionally, the pro forma financial information does not reflect the costs which the company has incurred or may incur to integrate the acquired businesses.</w:t>
      </w:r>
    </w:p>
    <w:p>
      <w:pPr>
        <w:spacing w:after="0" w:line="320" w:lineRule="exact"/>
        <w:rPr>
          <w:sz w:val="20"/>
          <w:szCs w:val="20"/>
          <w:color w:val="auto"/>
        </w:rPr>
      </w:pPr>
    </w:p>
    <w:p>
      <w:pPr>
        <w:ind w:left="424" w:hanging="424"/>
        <w:spacing w:after="0"/>
        <w:tabs>
          <w:tab w:leader="none" w:pos="42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33" w:lineRule="exact"/>
        <w:rPr>
          <w:sz w:val="20"/>
          <w:szCs w:val="20"/>
          <w:color w:val="auto"/>
        </w:rPr>
      </w:pPr>
    </w:p>
    <w:p>
      <w:pPr>
        <w:ind w:left="424" w:hanging="424"/>
        <w:spacing w:after="0"/>
        <w:tabs>
          <w:tab w:leader="none" w:pos="424" w:val="left"/>
        </w:tabs>
        <w:numPr>
          <w:ilvl w:val="0"/>
          <w:numId w:val="9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original maturities of three months or less when acquired to be cash equivalents. The company’s policy is to invest its excess cash in interest-bearing deposits with major banks that are subject to minimal credit and market risk.</w:t>
      </w:r>
    </w:p>
    <w:p>
      <w:pPr>
        <w:spacing w:after="0" w:line="308" w:lineRule="exact"/>
        <w:rPr>
          <w:sz w:val="20"/>
          <w:szCs w:val="20"/>
          <w:color w:val="auto"/>
        </w:rPr>
      </w:pPr>
    </w:p>
    <w:p>
      <w:pPr>
        <w:ind w:left="424" w:hanging="424"/>
        <w:spacing w:after="0"/>
        <w:tabs>
          <w:tab w:leader="none" w:pos="424" w:val="left"/>
        </w:tabs>
        <w:numPr>
          <w:ilvl w:val="0"/>
          <w:numId w:val="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ind w:left="4" w:right="340"/>
        <w:spacing w:after="0" w:line="261" w:lineRule="auto"/>
        <w:rPr>
          <w:sz w:val="20"/>
          <w:szCs w:val="20"/>
          <w:color w:val="auto"/>
        </w:rPr>
      </w:pPr>
      <w:r>
        <w:rPr>
          <w:rFonts w:ascii="Times New Roman" w:cs="Times New Roman" w:eastAsia="Times New Roman" w:hAnsi="Times New Roman"/>
          <w:sz w:val="18"/>
          <w:szCs w:val="18"/>
          <w:color w:val="auto"/>
        </w:rPr>
        <w:t>Accounts receivable, as shown in the combined balance sheets, are net of allowances for doubtful accounts. The company estimates allowances for expected credit losses using an aging methodology and establishes customer-specific reserves for higher risk trade customers. We consider a combination of specific customer circumstances, credit conditions, market conditions and the history of write-offs and collections in developing the allowances.</w:t>
      </w:r>
    </w:p>
    <w:p>
      <w:pPr>
        <w:spacing w:after="0" w:line="326" w:lineRule="exact"/>
        <w:rPr>
          <w:sz w:val="20"/>
          <w:szCs w:val="20"/>
          <w:color w:val="auto"/>
        </w:rPr>
      </w:pPr>
    </w:p>
    <w:p>
      <w:pPr>
        <w:ind w:left="424" w:hanging="424"/>
        <w:spacing w:after="0"/>
        <w:tabs>
          <w:tab w:leader="none" w:pos="424" w:val="left"/>
        </w:tabs>
        <w:numPr>
          <w:ilvl w:val="0"/>
          <w:numId w:val="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Inventories are composed of material, labor and overhead and are stated at the lower of cost or net realizable value. Costs for inventory have been determined primarily using the first-in, first-out (“FIFO”) method. The company estimates reserves for inventory obsolescence and shrinkage based on its judgment of future realization. Inventories are as follows:</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parts</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103,368</w:t>
            </w: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56,585</w:t>
            </w:r>
          </w:p>
        </w:tc>
        <w:tc>
          <w:tcPr>
            <w:tcW w:w="3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33,618</w:t>
            </w:r>
          </w:p>
        </w:tc>
        <w:tc>
          <w:tcPr>
            <w:tcW w:w="3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23,753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193,571</w:t>
            </w:r>
          </w:p>
        </w:tc>
        <w:tc>
          <w:tcPr>
            <w:tcW w:w="88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151,687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   Property, Plant and Equipment</w:t>
            </w: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82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are carried at cost as follows:</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40" w:type="dxa"/>
            <w:vAlign w:val="bottom"/>
          </w:tcPr>
          <w:p>
            <w:pPr>
              <w:spacing w:after="0"/>
              <w:rPr>
                <w:sz w:val="24"/>
                <w:szCs w:val="24"/>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19,604</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121,058</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10,933</w:t>
            </w:r>
          </w:p>
        </w:tc>
        <w:tc>
          <w:tcPr>
            <w:tcW w:w="8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77,500</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60,768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229,095</w:t>
            </w:r>
          </w:p>
        </w:tc>
        <w:tc>
          <w:tcPr>
            <w:tcW w:w="8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(65,849)</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(50,702)</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163,246</w:t>
            </w:r>
          </w:p>
        </w:tc>
        <w:tc>
          <w:tcPr>
            <w:tcW w:w="8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119,379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F-11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70" w:right="499" w:bottom="1440" w:gutter="0" w:footer="0" w:header="0"/>
        </w:sectPr>
      </w:pPr>
    </w:p>
    <w:bookmarkStart w:id="170" w:name="page171"/>
    <w:bookmarkEnd w:id="170"/>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plant and equipment are depreciated or amortized on a straight-line basis over their useful lives based on management’s estimates of the period over which the assets will be utilized to benefit the operations of the company. The useful lives are estimated based on historical experience with similar assets, taking into account anticipated technological or other changes. The company periodically reviews these lives relative to physical factors, economic factors and industry trends. If there are changes in the planned use of property and equipment or if technological changes were to occur more rapidly than anticipated, the useful lives assigned to these assets may need to be shortened, resulting in the recognition of increased depreciation and amortization expense in future periods.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is a summary of the estimated useful lives: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40" w:type="dxa"/>
            <w:vAlign w:val="bottom"/>
            <w:gridSpan w:val="3"/>
          </w:tcPr>
          <w:p>
            <w:pPr>
              <w:ind w:left="1920"/>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191"/>
        </w:trPr>
        <w:tc>
          <w:tcPr>
            <w:tcW w:w="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Building</w:t>
            </w:r>
          </w:p>
        </w:tc>
        <w:tc>
          <w:tcPr>
            <w:tcW w:w="3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 improvements</w:t>
            </w:r>
          </w:p>
        </w:tc>
        <w:tc>
          <w:tcPr>
            <w:tcW w:w="1920" w:type="dxa"/>
            <w:vAlign w:val="bottom"/>
          </w:tcPr>
          <w:p>
            <w:pPr>
              <w:spacing w:after="0"/>
              <w:rPr>
                <w:sz w:val="16"/>
                <w:szCs w:val="16"/>
                <w:color w:val="auto"/>
              </w:rPr>
            </w:pPr>
          </w:p>
        </w:tc>
        <w:tc>
          <w:tcPr>
            <w:tcW w:w="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3"/>
              </w:rPr>
              <w:t>to 40 years</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9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3 to 7 years</w:t>
            </w: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9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Depreciation expense amounted to $13.3 million, $10.5 million and $9.0 million in fiscal 2025, 2024 and 2023, respectively.</w:t>
      </w:r>
    </w:p>
    <w:p>
      <w:pPr>
        <w:spacing w:after="0" w:line="225"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Expenditures which significantly extend useful lives are capitalized. Maintenance and repairs are charged to expense as incurred. Asset impairments are recorded whenever events or changes in circumstances indicate that the recorded value of an asset is greater than the sum of its expected future undiscounted cash flows. Asset impairments are recorded at the amount by which the recorded value of an asset exceeds its fair value.</w:t>
      </w:r>
    </w:p>
    <w:p>
      <w:pPr>
        <w:spacing w:after="0" w:line="322" w:lineRule="exact"/>
        <w:rPr>
          <w:sz w:val="20"/>
          <w:szCs w:val="20"/>
          <w:color w:val="auto"/>
        </w:rPr>
      </w:pPr>
    </w:p>
    <w:p>
      <w:pPr>
        <w:ind w:left="544" w:hanging="544"/>
        <w:spacing w:after="0"/>
        <w:tabs>
          <w:tab w:leader="none" w:pos="544" w:val="left"/>
        </w:tabs>
        <w:numPr>
          <w:ilvl w:val="0"/>
          <w:numId w:val="9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and Other Intangibles</w:t>
      </w:r>
    </w:p>
    <w:p>
      <w:pPr>
        <w:spacing w:after="0" w:line="11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The company’s business acquisitions result in the recognition of goodwill and other intangible assets, which are a significant portion of the company’s total assets. Goodwill represents the excess of acquisition costs over the fair value of the net tangible assets and identifiable intangible assets acquired in a business combination. Identifiable intangible assets are recognized separately from goodwill and include trademarks and trade names, technology, customer relationships and other specifically identifiable assets. Trademarks and trade names are deemed to be indefinite-lived. Goodwill and indefinite-lived intangible assets are not amortized but are subject to impairment testing.</w:t>
      </w:r>
    </w:p>
    <w:p>
      <w:pPr>
        <w:spacing w:after="0" w:line="183"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The company performs the annual impairment assessment for goodwill and indefinite-lived intangible assets as of the first day of the fourth quarter of the fiscal year and more frequently if indicators of impairment exist. The goodwill impairment test is performed over the business as a whole. The company initially performs a qualitative analysis to determine if it is more likely than not that the goodwill balance or indefinite-life intangible asset is impaired. In conducting a qualitative assessment, the company analyzes a variety of events or factors that may influence the fair value of the business or indefinite-life intangible, including, but not limited to: macroeconomic conditions, industry and market considerations, cost factors, overall financial performance, share price and other relevant factors. If an indicator of impairment is determined from the qualitative analysis, then the company will perform a quantitative analysis.</w:t>
      </w:r>
    </w:p>
    <w:p>
      <w:pPr>
        <w:spacing w:after="0" w:line="189" w:lineRule="exact"/>
        <w:rPr>
          <w:sz w:val="20"/>
          <w:szCs w:val="20"/>
          <w:color w:val="auto"/>
        </w:rPr>
      </w:pPr>
    </w:p>
    <w:p>
      <w:pPr>
        <w:jc w:val="both"/>
        <w:ind w:left="4" w:right="520"/>
        <w:spacing w:after="0" w:line="312" w:lineRule="auto"/>
        <w:rPr>
          <w:sz w:val="20"/>
          <w:szCs w:val="20"/>
          <w:color w:val="auto"/>
        </w:rPr>
      </w:pPr>
      <w:r>
        <w:rPr>
          <w:rFonts w:ascii="Times New Roman" w:cs="Times New Roman" w:eastAsia="Times New Roman" w:hAnsi="Times New Roman"/>
          <w:sz w:val="17"/>
          <w:szCs w:val="17"/>
          <w:color w:val="auto"/>
        </w:rPr>
        <w:t>The company performed a qualitative assessment for goodwill as of September 28, 2025 and September 29, 2024 over the business. Based on the assessment it was determined there were no impairment indicators for the period ended January 3, 2026 or the period ended December 28, 2024.</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0984"/>
          </w:cols>
          <w:pgMar w:left="436" w:top="270" w:right="4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changes in the net carrying amount of goodwill are as follows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gridSpan w:val="2"/>
          </w:tcPr>
          <w:p>
            <w:pPr>
              <w:ind w:left="17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30, 2023</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426,544</w:t>
            </w: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46,745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adjustments to goodwill acquired in prior year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8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(11,457)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461,889</w:t>
            </w: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13,312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49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period adjustments to goodwill acquired in prior year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3,116</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24,000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502,317</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7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6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120" w:type="dxa"/>
            <w:vAlign w:val="bottom"/>
            <w:gridSpan w:val="3"/>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1180" w:type="dxa"/>
            <w:vAlign w:val="bottom"/>
            <w:gridSpan w:val="4"/>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7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12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180" w:type="dxa"/>
            <w:vAlign w:val="bottom"/>
            <w:gridSpan w:val="4"/>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Amortized intangible assets:</w:t>
            </w: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$ 106,529</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(80,550)</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25,979</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99,662</w:t>
            </w:r>
          </w:p>
        </w:tc>
        <w:tc>
          <w:tcPr>
            <w:tcW w:w="50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(70,615)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29,047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(11,629)</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13,655</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(9,283)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12,758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Backlog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(3,069)</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2,045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(95,248)</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40,028</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123,748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(80,580)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43,168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Indefinite-lived assets: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133,228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133,228</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122,642</w:t>
            </w:r>
          </w:p>
        </w:tc>
        <w:tc>
          <w:tcPr>
            <w:tcW w:w="0" w:type="dxa"/>
            <w:vAlign w:val="bottom"/>
          </w:tcPr>
          <w:p>
            <w:pPr>
              <w:spacing w:after="0"/>
              <w:rPr>
                <w:sz w:val="1"/>
                <w:szCs w:val="1"/>
                <w:color w:val="auto"/>
              </w:rPr>
            </w:pPr>
          </w:p>
        </w:tc>
      </w:tr>
      <w:tr>
        <w:trPr>
          <w:trHeight w:val="223"/>
        </w:trPr>
        <w:tc>
          <w:tcPr>
            <w:tcW w:w="46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Other intangibles, net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$ 268,504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(95,248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$ 173,256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$ 246,390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completed its annual impairment assessment for indefinite-lived intangible assets as of September 28, 2025 and September 29, 2024. We identified indicators of impairment with a single trademark in each annual assessment. The primary indicator of impairment was market conditions resulting in lower than expected revenue performance in the current year and forecasted revenues for future periods.</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 estimated the fair value of the trademarks and trade names using a relief from royalty method under the income approach. In performing the quantitative analyses on the trademarks and trade names, significant assumptions included revenue growth rates, assumed royalty rates and discount rates, which are considered level 3 inputs in the fair value hierarchy. The company believes the assumptions utilized within the quantitative analyses are reasonable and consistent with assumptions that would be used by other marketplace participants.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on the results of the quantitative assessments, the company recorded an impairment charge of $1.3 million within selling, general and administrative expenses for the period ended January 3, 2026 and no impairment charge for the period ended December 28, 2024. The gross value of the trademarks and trade names tested during the period ended January 3, 2026 was $2.6 million.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indefinite-lived intangible assets involve significant management judgment and are based upon assumptions about expected future operating performance,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20"/>
          </w:cols>
          <w:pgMar w:left="440" w:top="270" w:right="439" w:bottom="1440" w:gutter="0" w:footer="0" w:header="0"/>
        </w:sectPr>
      </w:pPr>
    </w:p>
    <w:bookmarkStart w:id="172" w:name="page173"/>
    <w:bookmarkEnd w:id="17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economic conditions, market conditions and cost of capital. Inherent in estimating the future cash flows are uncertainties beyond our control, such as changes in capital markets. The company continues to monitor global and regional economic market conditions and the underlying demand for its products to assess the impact on its business and financial performance. The actual cash flows could differ materially from management’s estimates due to changes in business conditions, operating performance and economic conditions.</w:t>
      </w:r>
    </w:p>
    <w:p>
      <w:pPr>
        <w:spacing w:after="0" w:line="18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performed a qualitative assessment as of September 28, 2025 and September 29, 2024 for all other trademarks and trade names and determined there were no impairment indicators for the period ended January 3, 2026 or the period ended December 28, 2024.</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Definite-lived intangible assets are amortized over their estimated useful lives and tested for impairment whenever events or changes in circumstances indicate that the recorded value of an asset is greater than the sum of its expected future undiscounted cash flows.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aggregate intangible amortization expense was $11.7 million, $8.1 million and $9.8 million in 2025, 2024 and 2023, respectively. The estimated future amortization expense of intangible assets is as follows:</w:t>
      </w:r>
    </w:p>
    <w:p>
      <w:pPr>
        <w:spacing w:after="0" w:line="182"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6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8,678</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6,470</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4,564</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40,028</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Accrued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616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$131,144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35,366</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contingent consideration</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12,308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9,112</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8,860</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agent commission</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5,276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and other tax</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5,272</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4,407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4,031</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3,784</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liability and workers compensation</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9,588</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14,569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217,187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150,434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    Leases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commencement date of a lease, the company recognizes a liability to make lease payments and an asset representing the right to use the underlying asset during the lease term. The lease liability is measured at the present value of lease payments over the lease term, including variable lease payments that are determined to be probable. The lease liability includes lease component fees, while non-lease component fees are expensed as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0980"/>
          </w:cols>
          <w:pgMar w:left="440" w:top="270" w:right="479" w:bottom="1440" w:gutter="0" w:footer="0" w:header="0"/>
        </w:sectPr>
      </w:pPr>
    </w:p>
    <w:bookmarkStart w:id="173" w:name="page174"/>
    <w:bookmarkEnd w:id="17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incurred for all asset classes. The company’s lease terms include options to extend or terminate the lease when it is reasonably certain that we will exercise that option. When a contract excludes an implicit rate, the company utilizes an incremental borrowing rate based on information available at the lease commencement date including lease term and geographic region. The initial valuation of the right-of-use (“ROU”) asset includes the initial measurement of the lease liability, lease payments made in advance of the lease commencement date and initial direct costs incurred by the company and excludes lease incentives.</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classified as short-term leases and are not recorded on the Combined Balance Sheets. The lease expense for short-term leases is recognized on a straight-line basis over the lease term.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    Commitments and Contingencies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proceedings, lawsuits and other claims related to products, suppliers, employees, customers and competitors. The company maintains insurance to partially cover product liability, workers compensation, property and casualty, and general liability matters. The company is required to assess the likelihood of any adverse judgments or outcomes to these matters as well as potential ranges of probable losses. A determination of the amount of accrual required, if any, for these contingencies is made after assessment of each matter and the related insurance coverage. The required accrual may change in the future due to new developments or changes in approach such as a change in settlement strategy in dealing with these matters. The company does not believe that any such matter will have a material adverse effect on its financial condition, results of operations or cash flows.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Net Parent Investment</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Middleby’s net investment in the Food Processing Equipment Group business represents Middleby’s equity in the Combined Balance Sheets of FPG. This is presented as “Net Parent Investment” in lieu of stockholders’ equity. The Combined Statements of Changes in Parent Company Net Investment reflect net cash transfers and other property transfers between Middleby and FPG, including intercompany receivables and payables that are considered settled on a current basis. Middleby performs cash management and other treasury-related functions on a centralized basis for its legal entities, including FPG. Middleby also performs certain corporate functions on behalf of FPG. These encompass services like information technology, accounting, legal, real estate and facilities management, and other corporate functions. The expenses related to these shared services and other allocated costs are reflected in the Combined Statements of Earnings of FPG.</w:t>
      </w:r>
    </w:p>
    <w:p>
      <w:pPr>
        <w:spacing w:after="0" w:line="18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All transactions reflected in Net Parent Investment in the accompanying Combined Balance Sheets are treated as cash receipts and payments for the purposes of the Combined Statements of Cash Flows and are reflected in financing activities in the accompanying Combined Statements of Cash Flows.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 Accumulated Other Comprehensive Loss</w:t>
      </w:r>
    </w:p>
    <w:p>
      <w:pPr>
        <w:spacing w:after="0" w:line="1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only component of accumulated other comprehensive loss, foreign currency translation adjustments, amounted to $(27.5) million and $(38.3) million as of January 3, 2026 and December 28, 2024, respectively.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0980"/>
          </w:cols>
          <w:pgMar w:left="440" w:top="270" w:right="479" w:bottom="1440" w:gutter="0" w:footer="0" w:header="0"/>
        </w:sectPr>
      </w:pPr>
    </w:p>
    <w:bookmarkStart w:id="174" w:name="page175"/>
    <w:bookmarkEnd w:id="17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in accumulated other comprehensive income (loss) were as follows:</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8"/>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0" w:type="dxa"/>
            <w:vAlign w:val="bottom"/>
          </w:tcPr>
          <w:p>
            <w:pPr>
              <w:spacing w:after="0"/>
              <w:rPr>
                <w:sz w:val="1"/>
                <w:szCs w:val="1"/>
                <w:color w:val="auto"/>
              </w:rPr>
            </w:pPr>
          </w:p>
        </w:tc>
      </w:tr>
      <w:tr>
        <w:trPr>
          <w:trHeight w:val="173"/>
        </w:trPr>
        <w:tc>
          <w:tcPr>
            <w:tcW w:w="570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(31,076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w:t>
            </w: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30, 2023</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(20,523)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w:t>
            </w: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(17,784)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(38,307)</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w:t>
            </w: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10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ind w:left="424" w:hanging="424"/>
        <w:spacing w:after="0"/>
        <w:tabs>
          <w:tab w:leader="none" w:pos="424" w:val="left"/>
        </w:tabs>
        <w:numPr>
          <w:ilvl w:val="0"/>
          <w:numId w:val="9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Measures</w:t>
      </w:r>
    </w:p>
    <w:p>
      <w:pPr>
        <w:spacing w:after="0" w:line="117"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price that would be received for an asset or paid to transfer a liability (an exit price) in the principal most advantageous market for the asset or liability in an orderly transaction between market participants on the measurement date. ASC 820 establishes a fair value hierarchy, which prioritizes the inputs used in measuring fair value into the following levels:</w:t>
      </w:r>
    </w:p>
    <w:p>
      <w:pPr>
        <w:spacing w:after="0" w:line="6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which are observable either directly or indirectly</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Level 3 – Unobservable inputs based on our own assumptions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company’s financial liabilities that are measured at fair value and are categorized using the fair value hierarchy are as follows: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64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2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 of January 3, 2026</w:t>
            </w:r>
          </w:p>
        </w:tc>
        <w:tc>
          <w:tcPr>
            <w:tcW w:w="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47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$16,460</w:t>
            </w:r>
          </w:p>
        </w:tc>
        <w:tc>
          <w:tcPr>
            <w:tcW w:w="900" w:type="dxa"/>
            <w:vAlign w:val="bottom"/>
            <w:gridSpan w:val="3"/>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$16,460</w:t>
            </w:r>
          </w:p>
        </w:tc>
        <w:tc>
          <w:tcPr>
            <w:tcW w:w="0" w:type="dxa"/>
            <w:vAlign w:val="bottom"/>
          </w:tcPr>
          <w:p>
            <w:pPr>
              <w:spacing w:after="0"/>
              <w:rPr>
                <w:sz w:val="1"/>
                <w:szCs w:val="1"/>
                <w:color w:val="auto"/>
              </w:rPr>
            </w:pPr>
          </w:p>
        </w:tc>
      </w:tr>
      <w:tr>
        <w:trPr>
          <w:trHeight w:val="283"/>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28, 2024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$19,303</w:t>
            </w:r>
          </w:p>
        </w:tc>
        <w:tc>
          <w:tcPr>
            <w:tcW w:w="9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$19,303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The contingent consideration as of January 3, 2026 and December 28, 2024 relates to the earnout provisions recorded in conjunction with various purchase agreements.</w:t>
      </w:r>
    </w:p>
    <w:p>
      <w:pPr>
        <w:spacing w:after="0" w:line="94"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0844"/>
          </w:cols>
          <w:pgMar w:left="436" w:top="270" w:right="619" w:bottom="1440" w:gutter="0" w:footer="0" w:header="0"/>
        </w:sectPr>
      </w:pPr>
    </w:p>
    <w:bookmarkStart w:id="175" w:name="page176"/>
    <w:bookmarkEnd w:id="175"/>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earnout provisions associated with these acquisitions are based upon performance measurements related to sales and EBITDA, as defined in the respective purchase agreements. On a quarterly basis, the company assesses the projected results for each of the acquisitions in comparison to the earnout targets and adjusts the liability accordingly. Discount rates for valuing contingent consideration are determined based on the company rates and specific acquisition risk considerations. Changes to the fair value of the contingent consideration liabilities can result from changes to one or a number of inputs, including discount rates, the probabilities of achieving the earnout targets, the time required to achieve the targets and estimated future sales and EBITDA. Judgment is employed in determining the appropriateness of certain of these inputs. Changes to the inputs described above could have a material impact on the company’s financial position and results of operations in any given period. Changes in fair value associated with the earnout provisions are recognized in Selling, general and administrative expenses within the Combined Statements of Earnings. The contingent consideration liabilities are included in accrued expenses and other non-current liabilities. Contingent consideration payments of amounts up to the initial acquisition date fair value are classified as cash outflows from financing activities and payments of amounts in excess of the initial acquisition date fair value are classified as cash outflows from operating activities in the Combined Statements of Cash Flows.</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represents changes in the fair value of the contingent consideration liabilities: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4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5"/>
                <w:szCs w:val="15"/>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$19,303</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2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(9,639)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(2,414)</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contingent consideration</w:t>
            </w:r>
          </w:p>
        </w:tc>
        <w:tc>
          <w:tcPr>
            <w:tcW w:w="28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4,698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and exchange effect</w:t>
            </w:r>
          </w:p>
        </w:tc>
        <w:tc>
          <w:tcPr>
            <w:tcW w:w="17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2,098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(1,237)</w:t>
            </w:r>
          </w:p>
        </w:tc>
      </w:tr>
      <w:tr>
        <w:trPr>
          <w:trHeight w:val="27"/>
        </w:trPr>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7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16,460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19,303</w:t>
            </w:r>
          </w:p>
        </w:tc>
      </w:tr>
      <w:tr>
        <w:trPr>
          <w:trHeight w:val="20"/>
        </w:trPr>
        <w:tc>
          <w:tcPr>
            <w:tcW w:w="4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i w:val="1"/>
          <w:iCs w:val="1"/>
          <w:color w:val="auto"/>
        </w:rPr>
        <w:t>(l)</w:t>
        <w:tab/>
        <w:t>Revenue Recognition</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company’s revenue recognition policy is discussed in Note 4, “Revenue Recognition.”</w:t>
      </w:r>
    </w:p>
    <w:p>
      <w:pPr>
        <w:spacing w:after="0" w:line="372" w:lineRule="exact"/>
        <w:rPr>
          <w:sz w:val="20"/>
          <w:szCs w:val="20"/>
          <w:color w:val="auto"/>
        </w:rPr>
      </w:pPr>
    </w:p>
    <w:p>
      <w:pPr>
        <w:ind w:left="424" w:hanging="424"/>
        <w:spacing w:after="0"/>
        <w:tabs>
          <w:tab w:leader="none" w:pos="424"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4" w:right="20"/>
        <w:spacing w:after="0" w:line="277" w:lineRule="auto"/>
        <w:rPr>
          <w:sz w:val="20"/>
          <w:szCs w:val="20"/>
          <w:color w:val="auto"/>
        </w:rPr>
      </w:pPr>
      <w:r>
        <w:rPr>
          <w:rFonts w:ascii="Times New Roman" w:cs="Times New Roman" w:eastAsia="Times New Roman" w:hAnsi="Times New Roman"/>
          <w:sz w:val="17"/>
          <w:szCs w:val="17"/>
          <w:color w:val="auto"/>
        </w:rPr>
        <w:t>The income statements of the company’s foreign operations are translated at the monthly average exchange rates. Assets and liabilities of the company’s foreign operations are translated at exchange rates at the balance sheet date. These translation adjustments are not included in determining net income for the period but are disclosed and accumulated in a separate component of total Parent company net investment. Exchange gains and losses on foreign currency transactions are included in determining net income for the period in which they occur. These transactions amounted to a gain of $9.3 million, $0.1 million and $6.8 million in 2025, 2024 and 2023, respectively, and are included in other income, net on the Combined Statements of Earnings.</w:t>
      </w:r>
    </w:p>
    <w:p>
      <w:pPr>
        <w:spacing w:after="0" w:line="314" w:lineRule="exact"/>
        <w:rPr>
          <w:sz w:val="20"/>
          <w:szCs w:val="20"/>
          <w:color w:val="auto"/>
        </w:rPr>
      </w:pPr>
    </w:p>
    <w:p>
      <w:pPr>
        <w:ind w:left="424" w:hanging="424"/>
        <w:spacing w:after="0"/>
        <w:tabs>
          <w:tab w:leader="none" w:pos="424" w:val="left"/>
        </w:tabs>
        <w:numPr>
          <w:ilvl w:val="0"/>
          <w:numId w:val="9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Fees billed to the customer for shipping and handling are classified as a component of net revenues. Shipping and handling costs are included in cost of products sold.</w:t>
      </w:r>
    </w:p>
    <w:p>
      <w:pPr>
        <w:spacing w:after="0" w:line="308" w:lineRule="exact"/>
        <w:rPr>
          <w:sz w:val="20"/>
          <w:szCs w:val="20"/>
          <w:color w:val="auto"/>
        </w:rPr>
      </w:pPr>
    </w:p>
    <w:p>
      <w:pPr>
        <w:ind w:left="424" w:hanging="424"/>
        <w:spacing w:after="0"/>
        <w:tabs>
          <w:tab w:leader="none" w:pos="424" w:val="left"/>
        </w:tabs>
        <w:numPr>
          <w:ilvl w:val="0"/>
          <w:numId w:val="9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Warranty Costs</w:t>
      </w:r>
    </w:p>
    <w:p>
      <w:pPr>
        <w:spacing w:after="0" w:line="11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issues product warranties for specific product lines and provides for the estimated future warranty cost in the period in which the sale is recorded. The estimate of warranty cost is based on contract terms and historical warranty loss experience that is periodically adjusted for recent actual experience. Because warranty estimates are forecasts that are based on the best available information, claims costs may differ from amounts provided. Adjustments to initial obligations for warranties are made as changes in the obligations become reasonably estimable.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0984"/>
          </w:cols>
          <w:pgMar w:left="436" w:top="270" w:right="479" w:bottom="1440" w:gutter="0" w:footer="0" w:header="0"/>
        </w:sectPr>
      </w:pPr>
    </w:p>
    <w:bookmarkStart w:id="176" w:name="page177"/>
    <w:bookmarkEnd w:id="17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rollforward of the warranty reserve is as follows:</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6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$ 6,710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$ 6,996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$ 4,776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 related to acquisitions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Warranty claims paid</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(3,532)</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(3,864)</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(3,840)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$ 8,860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$ 6,710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$ 6,996</w:t>
            </w: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8" w:lineRule="exact"/>
        <w:rPr>
          <w:sz w:val="20"/>
          <w:szCs w:val="20"/>
          <w:color w:val="auto"/>
        </w:rPr>
      </w:pPr>
    </w:p>
    <w:p>
      <w:pPr>
        <w:ind w:left="424" w:hanging="424"/>
        <w:spacing w:after="0"/>
        <w:tabs>
          <w:tab w:leader="none" w:pos="424" w:val="left"/>
        </w:tabs>
        <w:numPr>
          <w:ilvl w:val="0"/>
          <w:numId w:val="9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Research and Development Costs</w:t>
      </w:r>
    </w:p>
    <w:p>
      <w:pPr>
        <w:spacing w:after="0" w:line="119"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included in cost of sales in the combined statements of earnings, are charged to expense when incurred. These costs were $23.3 million, $18.7 million and $17.1 million in fiscal 2025, 2024 and 2023, respectively.</w:t>
      </w:r>
    </w:p>
    <w:p>
      <w:pPr>
        <w:spacing w:after="0" w:line="308" w:lineRule="exact"/>
        <w:rPr>
          <w:sz w:val="20"/>
          <w:szCs w:val="20"/>
          <w:color w:val="auto"/>
        </w:rPr>
      </w:pPr>
    </w:p>
    <w:p>
      <w:pPr>
        <w:ind w:left="424" w:hanging="424"/>
        <w:spacing w:after="0"/>
        <w:tabs>
          <w:tab w:leader="none" w:pos="424" w:val="left"/>
        </w:tabs>
        <w:numPr>
          <w:ilvl w:val="0"/>
          <w:numId w:val="10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Non-Cash Share-Based Compensation</w:t>
      </w:r>
    </w:p>
    <w:p>
      <w:pPr>
        <w:spacing w:after="0" w:line="119"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Middleby maintains the 2021 Stock Incentive Plan (the “2021 Plan”), which allows for the granting of stock options, stock appreciation rights, restricted stock and restricted stock units, performance stock, phantom units and other equity-based awards to related parties or the company. Middleby estimates the fair value of restricted stock grants, restricted stock units and performance stock units at the time of grant and recognizes compensation costs over the vesting period of the grants. The expense, net of forfeitures, is recognized using the straight-line method. Non-cash share-based compensation expense is only recognized for those grants expected to vest. Non-cash share-based compensation costs have been specifically identified for employees who exclusively support FPG operations and include expenses allocated to FPG for corporate or shared employees primarily based on net sales as part of the cost allocations from Middleby. See Note 6, “Non-Cash Share-Based Compensation” for further information on Middleby’s share-based incentive plans.</w:t>
      </w:r>
    </w:p>
    <w:p>
      <w:pPr>
        <w:spacing w:after="0" w:line="338" w:lineRule="exact"/>
        <w:rPr>
          <w:sz w:val="20"/>
          <w:szCs w:val="20"/>
          <w:color w:val="auto"/>
        </w:rPr>
      </w:pPr>
    </w:p>
    <w:p>
      <w:pPr>
        <w:ind w:left="4" w:right="7500" w:hanging="4"/>
        <w:spacing w:after="0" w:line="399" w:lineRule="auto"/>
        <w:tabs>
          <w:tab w:leader="none" w:pos="436" w:val="left"/>
        </w:tabs>
        <w:numPr>
          <w:ilvl w:val="0"/>
          <w:numId w:val="10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New Accounting Pronouncements Accounting Pronouncements - Recently Adopted</w:t>
      </w: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expanded annual and interim disclosure requirements for reportable segments, primarily through enhanced disclosures about significant segment expenses. The company adopted this standard effective January 1, 2024 using a retrospective method. For further information, refer to Note 10, “Segment Information.”</w:t>
      </w:r>
    </w:p>
    <w:p>
      <w:pPr>
        <w:spacing w:after="0" w:line="180"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expands the disclosures required in an entity’s income tax rate reconciliation table. This ASU requires consistent categories and greater disaggregation of information presented in the effective tax rate reconciliation and requires disclosure of income taxes paid in both domestic and foreign jurisdictions. The company adopted this standard prospectively by providing the revised disclosures for the year ended January 3, 2026 and by providing pre-ASU disclosures for the prior periods. These changes did not impact the company’s Combined Financial Statements but provide additional information for users of the financial statements. See Note 7, “Income Taxes” for further details.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Accounting Pronouncements - To be adopted</w:t>
      </w:r>
    </w:p>
    <w:p>
      <w:pPr>
        <w:spacing w:after="0" w:line="119"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0984"/>
          </w:cols>
          <w:pgMar w:left="436" w:top="270" w:right="479" w:bottom="1440" w:gutter="0" w:footer="0" w:header="0"/>
        </w:sectPr>
      </w:pPr>
    </w:p>
    <w:bookmarkStart w:id="177" w:name="page178"/>
    <w:bookmarkEnd w:id="177"/>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Adoption of the standard should be applied prospectively, but may be applied retrospectively to all prior periods presented in the financial statements. Early adoption is permitted. The company is currently evaluating the impact of the adoption of this standard.</w:t>
      </w:r>
    </w:p>
    <w:p>
      <w:pPr>
        <w:spacing w:after="0" w:line="330" w:lineRule="exact"/>
        <w:rPr>
          <w:sz w:val="20"/>
          <w:szCs w:val="20"/>
          <w:color w:val="auto"/>
        </w:rPr>
      </w:pPr>
    </w:p>
    <w:p>
      <w:pPr>
        <w:ind w:left="424" w:hanging="424"/>
        <w:spacing w:after="0"/>
        <w:tabs>
          <w:tab w:leader="none" w:pos="424" w:val="left"/>
        </w:tabs>
        <w:numPr>
          <w:ilvl w:val="0"/>
          <w:numId w:val="10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Subsequent Events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Subsequent events were evaluated through March 18, 2026, the date the Combined Financial Statements were issued.</w:t>
      </w:r>
    </w:p>
    <w:p>
      <w:pPr>
        <w:spacing w:after="0" w:line="370" w:lineRule="exact"/>
        <w:rPr>
          <w:sz w:val="20"/>
          <w:szCs w:val="20"/>
          <w:color w:val="auto"/>
        </w:rPr>
      </w:pPr>
    </w:p>
    <w:p>
      <w:pPr>
        <w:ind w:left="544" w:hanging="544"/>
        <w:spacing w:after="0"/>
        <w:tabs>
          <w:tab w:leader="none" w:pos="544"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control of the promised goods or services are transferred to our customers, in an amount that reflects the consideration that we expect to receive in exchange for those goods or services.</w:t>
      </w:r>
    </w:p>
    <w:p>
      <w:pPr>
        <w:spacing w:after="0" w:line="162"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The company’s contracts can have multiple performance obligations or just a single performance obligation. For contracts with multiple performance obligations, the contract’s transaction price is allocated to each performance obligation using the company’s best estimate of the standalone selling price of each distinct good or service in the contract.</w:t>
      </w:r>
    </w:p>
    <w:p>
      <w:pPr>
        <w:spacing w:after="0" w:line="183"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company estimates the standalone selling price for equipment and services based on expected cost to manufacture the good or complete the service plus an appropriate profit margin. The estimated standalone selling price of parts is based on observable prices.</w:t>
      </w:r>
    </w:p>
    <w:p>
      <w:pPr>
        <w:spacing w:after="0" w:line="162"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As the company’s standard payment terms are less than one year, the company does not assess whether a contract has a significant financing component. The company treats shipping and handling activities performed after the customer obtains control of the good as a contract fulfillment activity. Sales, use and value added taxes assessed by governmental authorities are excluded from the measurement of the transaction price within the company’s contracts with its customers. The company generally expenses sales commissions when incurred because the amortization period would have been less than one year. These costs are recorded within selling, general and administrative expenses.</w:t>
      </w:r>
    </w:p>
    <w:p>
      <w:pPr>
        <w:spacing w:after="0" w:line="183"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Control may pass to the customer over time or at a point in time. In general, revenue from equipment sold under our long-term contracts is recognized over time as the equipment is manufactured and assembled. Equipment that is highly customized and for which we have a contractual, enforceable right to collect payment upon customer cancellation for performance completed to date qualifies for over time revenue recognition. Installation services provided in connection with the delivery of the equipment are also generally recognized as those services are rendered.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direct labor hours incurred to date to the total estimated direct labor hours at completion of the performance obligation. The selection of the method to measure progress towards completion requires judgment. These measures include forecasts based on the best information available and therefore reflect the company’s judgment to faithfully depict the transfer of the goods. Revenue generated from standard equipment, contracts without an enforceable right to payment for performance completed to date, as well as aftermarket parts, are recognized at the point in time control transfers to the customer, which is typically based on contractual shipping terms.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04"/>
          </w:cols>
          <w:pgMar w:left="436" w:top="270"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 Estimates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Accounting for long-term contracts involves the use of various techniques to estimate total contract revenue and costs. For the company’s long-term contracts that qualify for over time revenue recognition, estimated profit for the equipment performance obligations is recognized as the equipment is manufactured and assembled. Profit on the equipment performance obligations is estimated as the difference between the total estimated revenue and expected costs to complete a contract. Contract cost estimates are based on anticipated labor and materials, and the performance of subcontractors. The company does not disclose information about remaining performance obligations that have original expected durations of one year or less. The company has not recognized material favorable or unfavorable changes in estimates related to the long-term contracts with customers in the years ended January 3, 2026, December 28, 2024, or December 30,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We disaggregate our net sales by geographical location and revenue streams as we believe it best depicts how the nature, timing and uncertainty of our net sales and cash flows are affected by economic factors. The following table summarizes our net sales by geographical location and revenue streams:</w:t>
      </w:r>
    </w:p>
    <w:p>
      <w:pPr>
        <w:spacing w:after="0" w:line="160"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$479,404</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$448,834</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$485,486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260,650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226,902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30,822</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853,157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771,996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759,268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Equipment and Installation</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$512,512</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$482,956</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$487,264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Parts and Service</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340,645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289,040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853,157</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771,996</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759,268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Payments on equipment contracts are typically due based on contractually stated milestones. Contract assets primarily relate to the company’s right to consideration for work completed but not billed at the reporting date and are recorded in prepaid expenses and other in the Combined Balance Sheets. Contract assets are transferred to receivables when the right to consideration becomes unconditional. Changes in contract assets and contract liabilities associated with the timing of payments and status of over time revenue contracts are recorded in prepaid expenses and other assets and accrued expenses and other liabilities, respectively, within operating activities in the Combined Statements of Cash Flows.</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Contract liabilities relate to advance consideration received from customers for which revenue has not been recognized. Current contract liabilities are recorded in accrued expenses in the Combined Balance Sheets. Non-current contract liabilities are recorded in other non-current liabilities in the Combined Balance Sheets. Contract liabilities are reduced when the associated revenue from the contract is recognized.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55,991</w:t>
            </w:r>
          </w:p>
        </w:tc>
        <w:tc>
          <w:tcPr>
            <w:tcW w:w="9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58,734</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131,144</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74,031</w:t>
            </w:r>
          </w:p>
        </w:tc>
      </w:tr>
    </w:tbl>
    <w:p>
      <w:pPr>
        <w:spacing w:after="0" w:line="1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fiscal 2025 and 2024, the company reclassified $39.5 million and $36.6 million, respectively, to accounts receivable which was included in the contract asset balance at the beginning of the period. During fiscal 2025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00"/>
          </w:cols>
          <w:pgMar w:left="440" w:top="268" w:right="459" w:bottom="1440" w:gutter="0" w:footer="0" w:header="0"/>
        </w:sectPr>
      </w:pPr>
    </w:p>
    <w:bookmarkStart w:id="179" w:name="page180"/>
    <w:bookmarkEnd w:id="179"/>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2024, the company recognized revenue of $59.3 million and $51.4 million, respectively, which was included in the contract liability balance at the beginning of the period. During fiscal 2025 and 2024, additions to contract liabilities representing amounts billed to clients in excess of revenue recognized were $97.0 million and $43.4 million, respectively. Additions to contract liabilities were $20.5 million related to companies acquired during fiscal 2025 and $26.9 million related to companies acquired during fiscal 2024. Substantially all of the company’s outstanding performance obligations will be satisfied within 12 to 36 months. There were no contract asset impairments during the periods presented.</w:t>
      </w:r>
    </w:p>
    <w:p>
      <w:pPr>
        <w:spacing w:after="0" w:line="328" w:lineRule="exact"/>
        <w:rPr>
          <w:sz w:val="20"/>
          <w:szCs w:val="20"/>
          <w:color w:val="auto"/>
        </w:rPr>
      </w:pPr>
    </w:p>
    <w:p>
      <w:pPr>
        <w:ind w:left="424" w:hanging="424"/>
        <w:spacing w:after="0"/>
        <w:tabs>
          <w:tab w:leader="none" w:pos="424"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3"/>
                <w:szCs w:val="13"/>
                <w:color w:val="auto"/>
              </w:rPr>
            </w:pPr>
          </w:p>
        </w:tc>
        <w:tc>
          <w:tcPr>
            <w:tcW w:w="146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7"/>
              </w:rPr>
              <w:t>January 3,</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66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loans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$ 25,050</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8,529</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6,319</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w:t>
            </w:r>
          </w:p>
        </w:tc>
        <w:tc>
          <w:tcPr>
            <w:tcW w:w="148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33,487</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4,765</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3"/>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$ 28,722</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On October 23, 2025, a foreign subsidiary of the company entered into a term loan with an initial principal amount of €20.0 million (“Foreign Term Loan”). The Foreign Term Loan, which matures on September 30, 2035, will be repaid in equal quarterly installments beginning in the first quarter of 2026. Interest is payable quarterly in arrears based on a three-month Euro interbank offered rate plus 0.83%. At January 3, 2026, the weighted average per annum interest rate for foreign loans was approximately 2.71%. The carrying value of foreign loans approximates fair value. As of January 3, 2026, the company’s foreign subsidiaries were in compliance with all debt covenants, none of which are material to FPG.</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January 3, 2026, future contractual maturities of debt, excluding finance lease obligations, are as follows:</w:t>
      </w:r>
    </w:p>
    <w:p>
      <w:pPr>
        <w:spacing w:after="0" w:line="258"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6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3,311</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3,065</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2,445</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2,404</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2,404</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25,050</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Refer to Note 8, “Lease Commitments” for additional information regarding finance lease obligations.</w:t>
      </w:r>
    </w:p>
    <w:p>
      <w:pPr>
        <w:spacing w:after="0" w:line="370" w:lineRule="exact"/>
        <w:rPr>
          <w:sz w:val="20"/>
          <w:szCs w:val="20"/>
          <w:color w:val="auto"/>
        </w:rPr>
      </w:pPr>
    </w:p>
    <w:p>
      <w:pPr>
        <w:ind w:left="424" w:hanging="424"/>
        <w:spacing w:after="0"/>
        <w:tabs>
          <w:tab w:leader="none" w:pos="424"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NON-CASH SHARE-BASED COMPENSATION</w:t>
      </w:r>
    </w:p>
    <w:p>
      <w:pPr>
        <w:spacing w:after="0" w:line="121"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Certain FPG employees participate in Middleby’s equity-based incentive plans. Middleby maintains an incentive plan under which share-based awards are granted to key employees. On May 10, 2021, the 2021 Plan was approved, which included a maximum amount of 1,350,000 shares allowed to be awarded plus the shares remaining for future grants under the 2011 Stock Incentive Plan (the “2011 Plan”) as of the approval date and any shares outstanding that are subsequently forfeited or expired. Thus, no further shares are available to grant under the 2011 Plan and the maximum amount of shares available for future grants under the 2021 Plan as of January 3, 2026 is 292,453.</w:t>
      </w:r>
    </w:p>
    <w:p>
      <w:pPr>
        <w:spacing w:after="0" w:line="116"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0904"/>
          </w:cols>
          <w:pgMar w:left="436" w:top="270" w:right="559" w:bottom="1440" w:gutter="0" w:footer="0" w:header="0"/>
        </w:sectPr>
      </w:pPr>
    </w:p>
    <w:bookmarkStart w:id="180" w:name="page181"/>
    <w:bookmarkEnd w:id="18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Non-cash share-based compensation costs have been specifically identified for employees who exclusively support FPG operations and are allocated as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 of the cost allocations from Middleby. The company includes the related expenses as Selling, general and administrative expense within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Combined Statements of Earnings. Expenses related to FPG employee participation in Middleby’s incentive plan were $1.7 million, $2.9 million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$3.7 million in fiscal 2025, 2024 and 2023, respectively. Additionally, expenses allocated to FPG for corporate or shared employees was primarily based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net sales and totaled $1.5 million, $4.0 million and $5.2 million in fiscal 2025, 2024 and 2023, respectively. The total non-cash share-based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compensation expense recognized in the Combined Statements of Earnings was $3.2 million, $6.9 million and $8.9 million in fiscal 2025, 2024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2023, respectively. The company recorded a related tax benefit of $0.2 million, less than $0.1 million and $0.2 million in fiscal 2025, 2024 and 2023,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respectively.</w:t>
      </w:r>
    </w:p>
    <w:p>
      <w:pPr>
        <w:spacing w:after="0" w:line="351" w:lineRule="exact"/>
        <w:rPr>
          <w:sz w:val="20"/>
          <w:szCs w:val="20"/>
          <w:color w:val="auto"/>
        </w:rPr>
      </w:pPr>
    </w:p>
    <w:p>
      <w:pPr>
        <w:ind w:left="424" w:hanging="424"/>
        <w:spacing w:after="0"/>
        <w:tabs>
          <w:tab w:leader="none" w:pos="424"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company’s income taxes as presented are calculated on a separate tax return basis, although the operations have historically been included in Middleby’s U.S. federal and unitary and separate state tax returns or non-U.S. jurisdictions’ tax returns. The use of the separate return method may result in differences when the amounts included in the stand-alone tax provision are compared with amounts presented in the Consolidated Financial Statements of Middleby. As such, certain deferred tax assets and liabilities included in the Consolidated Financial Statements of Middleby may not be included in the Combined Financial Statements of Food Processing Equipment Group. Similarly, there may be certain deferred tax assets and liabilities within the Combined Financial Statements of Food Processing Equipment Group which would not be found in the Consolidated Financial Statements and tax returns of Middleby. Examples of such items include net operating losses, tax credits, carry forwards and valuation allowances, which may exist in the stand-alone financial statements but not in the Parent’s Consolidated Financial Statements.</w:t>
      </w:r>
    </w:p>
    <w:p>
      <w:pPr>
        <w:spacing w:after="0" w:line="192"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We recognize current tax liabilities and assets for the estimated taxes payable or refundable on the tax returns for the current year. Deferred tax balances reflect the impact of temporary differences between the carrying amount of assets and liabilities and their tax basis. Amounts are stated at enacted tax rates expected to be in effect when taxes are actually paid or recovered. In addition, realization of certain deferred tax assets is dependent upon our ability to generate future taxable income. Food Processing Equipment Group records a valuation allowance to reduce its deferred tax assets to the amount that it believes is more likely than not to be realized. The company has elected to account for Global Intangible Low-Taxed Income (“GILTI”) tax in the period in which it is incurred, and therefore has not provided any deferred tax impacts of GILTI in its Combined Financial Statements. In addition, Food Processing Equipment Group estimates tax reserves to cover potential taxing authority claims for income taxes and interest attributable to audits of open tax years.</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Earnings before income taxes is summarized as follows:</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3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95,507</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$ 106,966</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65,139</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51,165</w:t>
            </w:r>
          </w:p>
        </w:tc>
        <w:tc>
          <w:tcPr>
            <w:tcW w:w="80" w:type="dxa"/>
            <w:vAlign w:val="bottom"/>
          </w:tcPr>
          <w:p>
            <w:pPr>
              <w:spacing w:after="0"/>
              <w:rPr>
                <w:sz w:val="19"/>
                <w:szCs w:val="19"/>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112,044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160,646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$ 158,131</w:t>
            </w:r>
          </w:p>
        </w:tc>
        <w:tc>
          <w:tcPr>
            <w:tcW w:w="80" w:type="dxa"/>
            <w:vAlign w:val="bottom"/>
            <w:shd w:val="clear" w:color="auto" w:fill="CCEEFF"/>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2700" w:type="dxa"/>
            <w:vAlign w:val="bottom"/>
            <w:gridSpan w:val="2"/>
          </w:tcPr>
          <w:p>
            <w:pPr>
              <w:jc w:val="right"/>
              <w:ind w:right="1296"/>
              <w:spacing w:after="0"/>
              <w:rPr>
                <w:sz w:val="20"/>
                <w:szCs w:val="20"/>
                <w:color w:val="auto"/>
              </w:rPr>
            </w:pPr>
            <w:r>
              <w:rPr>
                <w:rFonts w:ascii="Times New Roman" w:cs="Times New Roman" w:eastAsia="Times New Roman" w:hAnsi="Times New Roman"/>
                <w:sz w:val="18"/>
                <w:szCs w:val="18"/>
                <w:color w:val="auto"/>
              </w:rPr>
              <w:t>F-22</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04"/>
          </w:cols>
          <w:pgMar w:left="436" w:top="270" w:right="459" w:bottom="1440" w:gutter="0" w:footer="0" w:header="0"/>
        </w:sectPr>
      </w:pPr>
    </w:p>
    <w:bookmarkStart w:id="181" w:name="page182"/>
    <w:bookmarkEnd w:id="18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 for income taxes is summarized as follows:</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4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$15,431</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$17,964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$19,706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60" w:type="dxa"/>
            <w:vAlign w:val="bottom"/>
            <w:shd w:val="clear" w:color="auto" w:fill="CCEEFF"/>
          </w:tcPr>
          <w:p>
            <w:pPr>
              <w:spacing w:after="0"/>
              <w:rPr>
                <w:sz w:val="18"/>
                <w:szCs w:val="18"/>
                <w:color w:val="auto"/>
              </w:rPr>
            </w:pPr>
          </w:p>
        </w:tc>
      </w:tr>
      <w:tr>
        <w:trPr>
          <w:trHeight w:val="22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29,346</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38,367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37,848</w:t>
            </w:r>
          </w:p>
        </w:tc>
        <w:tc>
          <w:tcPr>
            <w:tcW w:w="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$37,662</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4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60" w:type="dxa"/>
            <w:vAlign w:val="bottom"/>
          </w:tcPr>
          <w:p>
            <w:pPr>
              <w:spacing w:after="0"/>
              <w:rPr>
                <w:sz w:val="18"/>
                <w:szCs w:val="18"/>
                <w:color w:val="auto"/>
              </w:rPr>
            </w:pPr>
          </w:p>
        </w:tc>
      </w:tr>
      <w:tr>
        <w:trPr>
          <w:trHeight w:val="27"/>
        </w:trPr>
        <w:tc>
          <w:tcPr>
            <w:tcW w:w="44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29,346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38,367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37,848</w:t>
            </w:r>
          </w:p>
        </w:tc>
        <w:tc>
          <w:tcPr>
            <w:tcW w:w="6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reconciliation of the differences between income taxes computed at the federal statutory rate to the effective rate for fiscal 2025 is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tcBorders>
              <w:bottom w:val="single" w:sz="8" w:color="CCEEFF"/>
            </w:tcBorders>
            <w:vMerge w:val="continue"/>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at the U.S. federal statutory tax rate</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$23,529</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State and local taxes, net of federal benefit </w:t>
            </w:r>
            <w:r>
              <w:rPr>
                <w:rFonts w:ascii="Times New Roman" w:cs="Times New Roman" w:eastAsia="Times New Roman" w:hAnsi="Times New Roman"/>
                <w:sz w:val="25"/>
                <w:szCs w:val="25"/>
                <w:color w:val="auto"/>
                <w:vertAlign w:val="superscript"/>
              </w:rPr>
              <w:t>(1)</w:t>
            </w:r>
          </w:p>
        </w:tc>
        <w:tc>
          <w:tcPr>
            <w:tcW w:w="21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2,886</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1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2,680</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tax effects</w:t>
            </w:r>
          </w:p>
        </w:tc>
        <w:tc>
          <w:tcPr>
            <w:tcW w:w="21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2,138</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credits and incentives</w:t>
            </w:r>
          </w:p>
        </w:tc>
        <w:tc>
          <w:tcPr>
            <w:tcW w:w="21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(1,612)</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items</w:t>
            </w:r>
          </w:p>
        </w:tc>
        <w:tc>
          <w:tcPr>
            <w:tcW w:w="10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and effective tax rate</w:t>
            </w: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29,346</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tabs>
          <w:tab w:leader="none" w:pos="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Illinois, Oklahoma, Tennessee and Texas made up the majority of this category.</w:t>
      </w:r>
    </w:p>
    <w:p>
      <w:pPr>
        <w:spacing w:after="0" w:line="22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reconciliations of the differences between income taxes computed at the federal statutory rate to the effective rate for fiscal 2024 and 2023 are as follows: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69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tax rate at rates other than U.S. statutory</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Tax Reform</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Combined effective tax</w:t>
            </w: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vMerge w:val="continue"/>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23.9%</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A tax provision of $29.3 million, at an effective rate of 26.2%, was recorded for fiscal 2025 as compared to $38.4 million and $37.8 million for fiscal 2024 and 2023, respectively, both at an effective rate of 23.9%. The effective rates in 2025, 2024 and 2023 were higher than the federal tax rate of 21.0% primarily due to state taxes and foreign tax rate differentials.</w:t>
      </w:r>
    </w:p>
    <w:p>
      <w:pPr>
        <w:spacing w:after="0" w:line="108"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0744"/>
          </w:cols>
          <w:pgMar w:left="436" w:top="270" w:right="719" w:bottom="1440" w:gutter="0" w:footer="0" w:header="0"/>
        </w:sectPr>
      </w:pPr>
    </w:p>
    <w:bookmarkStart w:id="182" w:name="page183"/>
    <w:bookmarkEnd w:id="18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taxes paid, net of refunds, by jurisdiction is as follows:</w:t>
      </w:r>
    </w:p>
    <w:p>
      <w:pPr>
        <w:spacing w:after="0" w:line="246"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Federal </w:t>
            </w:r>
            <w:r>
              <w:rPr>
                <w:rFonts w:ascii="Times New Roman" w:cs="Times New Roman" w:eastAsia="Times New Roman" w:hAnsi="Times New Roman"/>
                <w:sz w:val="24"/>
                <w:szCs w:val="24"/>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State and local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Foreign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Italy</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10,133</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Germany</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3,358</w:t>
            </w: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UK</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2,492</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France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1,722</w:t>
            </w: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taxes paid, net of refunds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21,946</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66" w:lineRule="auto"/>
        <w:tabs>
          <w:tab w:leader="none" w:pos="4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Financial Statements of Food Processing Equipment Group do not reflect any significant amounts due to or due from the Parent for income tax related matters. These matters were settled through net parent investment at the end of each year with the exception of foreign entities that submitted taxes directly to a taxing authority.</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Cash payments, net of refunds, totaling $21.0 million and $14.0 million were made for income taxes during fiscal 2024 and 2023, respectively.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recorded the following deferred tax assets and liabilities: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3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40" w:type="dxa"/>
            <w:vAlign w:val="bottom"/>
          </w:tcPr>
          <w:p>
            <w:pPr>
              <w:spacing w:after="0"/>
              <w:rPr>
                <w:sz w:val="15"/>
                <w:szCs w:val="15"/>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related</w:t>
            </w:r>
          </w:p>
        </w:tc>
        <w:tc>
          <w:tcPr>
            <w:tcW w:w="20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5,569</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reserves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5,746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5,645</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6,422</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Warranty reserves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1,509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2,880</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R&amp;D costs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9,775</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15,074</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1,375</w:t>
            </w: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2,562</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4,086</w:t>
            </w:r>
          </w:p>
        </w:tc>
        <w:tc>
          <w:tcPr>
            <w:tcW w:w="0" w:type="dxa"/>
            <w:vAlign w:val="bottom"/>
          </w:tcPr>
          <w:p>
            <w:pPr>
              <w:spacing w:after="0"/>
              <w:rPr>
                <w:sz w:val="1"/>
                <w:szCs w:val="1"/>
                <w:color w:val="auto"/>
              </w:rPr>
            </w:pPr>
          </w:p>
        </w:tc>
      </w:tr>
      <w:tr>
        <w:trPr>
          <w:trHeight w:val="223"/>
        </w:trPr>
        <w:tc>
          <w:tcPr>
            <w:tcW w:w="3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7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35,838</w:t>
            </w:r>
          </w:p>
        </w:tc>
        <w:tc>
          <w:tcPr>
            <w:tcW w:w="9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(710)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23"/>
        </w:trPr>
        <w:tc>
          <w:tcPr>
            <w:tcW w:w="3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assets</w:t>
            </w:r>
          </w:p>
        </w:tc>
        <w:tc>
          <w:tcPr>
            <w:tcW w:w="17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35,128</w:t>
            </w:r>
          </w:p>
        </w:tc>
        <w:tc>
          <w:tcPr>
            <w:tcW w:w="9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(48,000)</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(42,749)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Depreciable assets</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(5,732)</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(5,748)</w:t>
            </w:r>
          </w:p>
        </w:tc>
        <w:tc>
          <w:tcPr>
            <w:tcW w:w="0" w:type="dxa"/>
            <w:vAlign w:val="bottom"/>
          </w:tcPr>
          <w:p>
            <w:pPr>
              <w:spacing w:after="0"/>
              <w:rPr>
                <w:sz w:val="1"/>
                <w:szCs w:val="1"/>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(2,834)</w:t>
            </w: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(12,296)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(10,026)</w:t>
            </w:r>
          </w:p>
        </w:tc>
        <w:tc>
          <w:tcPr>
            <w:tcW w:w="0" w:type="dxa"/>
            <w:vAlign w:val="bottom"/>
          </w:tcPr>
          <w:p>
            <w:pPr>
              <w:spacing w:after="0"/>
              <w:rPr>
                <w:sz w:val="1"/>
                <w:szCs w:val="1"/>
                <w:color w:val="auto"/>
              </w:rPr>
            </w:pPr>
          </w:p>
        </w:tc>
      </w:tr>
      <w:tr>
        <w:trPr>
          <w:trHeight w:val="223"/>
        </w:trPr>
        <w:tc>
          <w:tcPr>
            <w:tcW w:w="3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7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(68,862)</w:t>
            </w:r>
          </w:p>
        </w:tc>
        <w:tc>
          <w:tcPr>
            <w:tcW w:w="9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0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(33,734)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(25,007)</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96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(35,100)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(25,263)</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7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(33,734)</w:t>
            </w:r>
          </w:p>
        </w:tc>
        <w:tc>
          <w:tcPr>
            <w:tcW w:w="9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20" w:type="dxa"/>
            <w:vAlign w:val="bottom"/>
          </w:tcPr>
          <w:p>
            <w:pPr>
              <w:spacing w:after="0"/>
              <w:rPr>
                <w:sz w:val="24"/>
                <w:szCs w:val="24"/>
                <w:color w:val="auto"/>
              </w:rPr>
            </w:pPr>
          </w:p>
        </w:tc>
        <w:tc>
          <w:tcPr>
            <w:tcW w:w="2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F-24</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183" w:name="page184"/>
    <w:bookmarkEnd w:id="183"/>
    <w:p>
      <w:pPr>
        <w:jc w:val="both"/>
        <w:ind w:left="4" w:right="5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recorded tax reserves on undistributed foreign earnings not permanently reinvested of less than $0.1 million and $0.2 million at January 3, 2026 and December 28, 2024, respectively. Determination of the total amount of unrecognized deferred income taxes on undistributed earnings net of foreign subsidiaries is not practicable.</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company has a deferred tax asset on net operating loss carryforwards totaling $1.4 million and $0.7 million as of January 3, 2026 and December 28, 2024, respectively. These net operating losses are available to reduce future taxable earnings of certain foreign subsidiaries. There are no United States federal and state loss carryforwards.</w:t>
      </w:r>
    </w:p>
    <w:p>
      <w:pPr>
        <w:spacing w:after="0" w:line="176"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As of January 3, 2026 and December 28, 2024, the total amount of liability for unrecognized tax benefits related to federal, state and foreign taxes was approximately $6.2 million (of which $6.2 million would impact the effective tax rate if recognized) plus approximately $2.3 million of accrued interest and $1.4 million of penalties and $6.2 million (of which $6.2 million would impact the effective tax rate if recognized) plus approximately $1.9 million of accrued interest and $1.4 million of penalties, respectively. The company recognizes interest and penalties accrued related to unrecognized tax benefits in income tax expense. Interest recognized in fiscal years 2025, 2024 and 2023 was $0.4 million, $0.4 million and $0.3 million, respectively. Penalties recognized in fiscal years 2025, 2024 and 2023 were less than $0.1 million, $0.1 million and $0.2 million, respectively. These amounts do not reflect indemnification receivables from the Parent of $4.4 million and $4.6 million as of January 3, 2026 and December 28, 2024, respectively, which are recorded in other assets in the Combined Balance Sheets.</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unrecognized tax benefits:</w:t>
      </w:r>
    </w:p>
    <w:p>
      <w:pPr>
        <w:spacing w:after="0" w:line="246"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30, 2023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Increases to current year tax positions</w:t>
            </w: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vMerge w:val="continue"/>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28, 2024</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6,151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Increases to current year tax positions</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6,154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income tax authorities in various income tax jurisdictions both in the United States and internationally conduct routine audits of our income tax returns filed in prior years. These audits are generally designed to determine if individual income tax authorities are in agreement with our interpretations of complex tax regulations regarding the allocation of income to the various income tax jurisdictions. Income tax years are open from 2022 through the current year for the United States federal jurisdiction. Income tax years open for our other major jurisdictions range from 2019 through the current year. Although the company believes its tax returns are correct, the final determination of tax examinations may be different than what was reported on the tax returns. In the opinion of management, adequate tax provisions have been made for the years subject to examination.</w:t>
      </w:r>
    </w:p>
    <w:p>
      <w:pPr>
        <w:spacing w:after="0" w:line="333" w:lineRule="exact"/>
        <w:rPr>
          <w:sz w:val="20"/>
          <w:szCs w:val="20"/>
          <w:color w:val="auto"/>
        </w:rPr>
      </w:pPr>
    </w:p>
    <w:p>
      <w:pPr>
        <w:ind w:left="544" w:hanging="544"/>
        <w:spacing w:after="0"/>
        <w:tabs>
          <w:tab w:leader="none" w:pos="544"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COMMITMENTS</w:t>
      </w:r>
    </w:p>
    <w:p>
      <w:pPr>
        <w:spacing w:after="0" w:line="121" w:lineRule="exact"/>
        <w:rPr>
          <w:sz w:val="20"/>
          <w:szCs w:val="20"/>
          <w:color w:val="auto"/>
        </w:rPr>
      </w:pPr>
    </w:p>
    <w:p>
      <w:pPr>
        <w:ind w:left="4" w:right="140"/>
        <w:spacing w:after="0" w:line="257" w:lineRule="auto"/>
        <w:rPr>
          <w:sz w:val="20"/>
          <w:szCs w:val="20"/>
          <w:color w:val="auto"/>
        </w:rPr>
      </w:pPr>
      <w:r>
        <w:rPr>
          <w:rFonts w:ascii="Times New Roman" w:cs="Times New Roman" w:eastAsia="Times New Roman" w:hAnsi="Times New Roman"/>
          <w:sz w:val="18"/>
          <w:szCs w:val="18"/>
          <w:color w:val="auto"/>
        </w:rPr>
        <w:t>The company leases manufacturing and warehouse space, office facilities and equipment under operating and finance leases. The company had operating lease costs of $7.2 million, $6.0 million and $5.2 million in fiscal 2025, 2024 and 2023, respectively, including short-term lease expense and variable lease costs, which were immaterial in these fiscal years. The company had finance lease costs of $1.4 million in fiscal 2025, of which</w:t>
      </w:r>
    </w:p>
    <w:p>
      <w:pPr>
        <w:spacing w:after="0" w:line="1" w:lineRule="exact"/>
        <w:rPr>
          <w:sz w:val="20"/>
          <w:szCs w:val="20"/>
          <w:color w:val="auto"/>
        </w:rPr>
      </w:pPr>
    </w:p>
    <w:p>
      <w:pPr>
        <w:ind w:left="4" w:right="140"/>
        <w:spacing w:after="0" w:line="260" w:lineRule="auto"/>
        <w:rPr>
          <w:sz w:val="20"/>
          <w:szCs w:val="20"/>
          <w:color w:val="auto"/>
        </w:rPr>
      </w:pPr>
      <w:r>
        <w:rPr>
          <w:rFonts w:ascii="Times New Roman" w:cs="Times New Roman" w:eastAsia="Times New Roman" w:hAnsi="Times New Roman"/>
          <w:sz w:val="18"/>
          <w:szCs w:val="18"/>
          <w:color w:val="auto"/>
        </w:rPr>
        <w:t>$1.1 million was ROU asset amortization expense and $0.3 million was interest on lease obligations, $0.7 million in fiscal 2024, of which $0.5 million was ROU asset amortization expense and $0.2 million was interest on lease</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0984"/>
          </w:cols>
          <w:pgMar w:left="436" w:top="270" w:right="479" w:bottom="1440" w:gutter="0" w:footer="0" w:header="0"/>
        </w:sectPr>
      </w:pPr>
    </w:p>
    <w:bookmarkStart w:id="184" w:name="page185"/>
    <w:bookmarkEnd w:id="184"/>
    <w:p>
      <w:pPr>
        <w:ind w:right="8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and $0.7 million in fiscal 2023, of which $0.5 million was ROU asset amortization expense and $0.2 million was interest on lease obligations.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 (in thousands)</w:t>
            </w:r>
          </w:p>
        </w:tc>
        <w:tc>
          <w:tcPr>
            <w:tcW w:w="3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 w:type="dxa"/>
            <w:vAlign w:val="bottom"/>
          </w:tcPr>
          <w:p>
            <w:pPr>
              <w:spacing w:after="0"/>
              <w:rPr>
                <w:sz w:val="16"/>
                <w:szCs w:val="16"/>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09"/>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3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w:t>
            </w:r>
          </w:p>
        </w:tc>
        <w:tc>
          <w:tcPr>
            <w:tcW w:w="3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20,552</w:t>
            </w:r>
          </w:p>
        </w:tc>
        <w:tc>
          <w:tcPr>
            <w:tcW w:w="7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16,634</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w:t>
            </w:r>
          </w:p>
        </w:tc>
        <w:tc>
          <w:tcPr>
            <w:tcW w:w="39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Property, plant and equipment,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9,973</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7,280</w:t>
            </w:r>
          </w:p>
        </w:tc>
      </w:tr>
      <w:tr>
        <w:trPr>
          <w:trHeight w:val="22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ROU assets</w:t>
            </w:r>
          </w:p>
        </w:tc>
        <w:tc>
          <w:tcPr>
            <w:tcW w:w="3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42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w:t>
            </w:r>
          </w:p>
        </w:tc>
        <w:tc>
          <w:tcPr>
            <w:tcW w:w="396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4,407</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4,031</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w:t>
            </w:r>
          </w:p>
        </w:tc>
        <w:tc>
          <w:tcPr>
            <w:tcW w:w="39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Current maturities of long-term debt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1,454</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w:t>
            </w:r>
          </w:p>
        </w:tc>
        <w:tc>
          <w:tcPr>
            <w:tcW w:w="39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Other non-current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16,709</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13,087</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w:t>
            </w:r>
          </w:p>
        </w:tc>
        <w:tc>
          <w:tcPr>
            <w:tcW w:w="39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Long-term debt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7,075</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5,747</w:t>
            </w:r>
          </w:p>
        </w:tc>
      </w:tr>
      <w:tr>
        <w:trPr>
          <w:trHeight w:val="22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29,645</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42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Lease Commitments (in thousands)</w:t>
            </w:r>
          </w:p>
        </w:tc>
        <w:tc>
          <w:tcPr>
            <w:tcW w:w="136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8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4,930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4,723</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3,777</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1,063</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1,724</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1,483</w:t>
            </w: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40" w:type="dxa"/>
            <w:vAlign w:val="bottom"/>
          </w:tcPr>
          <w:p>
            <w:pPr>
              <w:spacing w:after="0"/>
              <w:rPr>
                <w:sz w:val="19"/>
                <w:szCs w:val="19"/>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lease commitments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24,228</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9,439</w:t>
            </w: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40" w:type="dxa"/>
            <w:vAlign w:val="bottom"/>
          </w:tcPr>
          <w:p>
            <w:pPr>
              <w:spacing w:after="0"/>
              <w:rPr>
                <w:sz w:val="19"/>
                <w:szCs w:val="19"/>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21,116</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8,529</w:t>
            </w:r>
          </w:p>
        </w:tc>
      </w:tr>
      <w:tr>
        <w:trPr>
          <w:trHeight w:val="20"/>
        </w:trPr>
        <w:tc>
          <w:tcPr>
            <w:tcW w:w="3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Other Lease Information (in thousands, except lease term and</w:t>
            </w:r>
          </w:p>
        </w:tc>
        <w:tc>
          <w:tcPr>
            <w:tcW w:w="16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620" w:type="dxa"/>
            <w:vAlign w:val="bottom"/>
            <w:gridSpan w:val="3"/>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9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00" w:type="dxa"/>
            <w:vAlign w:val="bottom"/>
          </w:tcPr>
          <w:p>
            <w:pPr>
              <w:spacing w:after="0"/>
              <w:rPr>
                <w:sz w:val="24"/>
                <w:szCs w:val="24"/>
                <w:color w:val="auto"/>
              </w:rPr>
            </w:pP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years</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years</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w:t>
            </w:r>
          </w:p>
        </w:tc>
        <w:tc>
          <w:tcPr>
            <w:tcW w:w="16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5.9 years</w:t>
            </w:r>
          </w:p>
        </w:tc>
        <w:tc>
          <w:tcPr>
            <w:tcW w:w="10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7.8 years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w:t>
            </w:r>
          </w:p>
        </w:tc>
        <w:tc>
          <w:tcPr>
            <w:tcW w:w="16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w:t>
            </w:r>
          </w:p>
        </w:tc>
        <w:tc>
          <w:tcPr>
            <w:tcW w:w="146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Finance</w:t>
            </w:r>
          </w:p>
        </w:tc>
        <w:tc>
          <w:tcPr>
            <w:tcW w:w="16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3.8%</w:t>
            </w:r>
          </w:p>
        </w:tc>
        <w:tc>
          <w:tcPr>
            <w:tcW w:w="146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1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F-26</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85" w:name="page186"/>
    <w:bookmarkEnd w:id="185"/>
    <w:p>
      <w:pPr>
        <w:ind w:left="424" w:hanging="424"/>
        <w:spacing w:after="0"/>
        <w:tabs>
          <w:tab w:leader="none" w:pos="42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RELATIONSHIP WITH PARENT AND RELATED ENTITIES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119" w:lineRule="exact"/>
        <w:rPr>
          <w:sz w:val="20"/>
          <w:szCs w:val="20"/>
          <w:color w:val="auto"/>
        </w:rPr>
      </w:pPr>
    </w:p>
    <w:p>
      <w:pPr>
        <w:ind w:left="4" w:right="220"/>
        <w:spacing w:after="0" w:line="289" w:lineRule="auto"/>
        <w:rPr>
          <w:sz w:val="20"/>
          <w:szCs w:val="20"/>
          <w:color w:val="auto"/>
        </w:rPr>
      </w:pPr>
      <w:r>
        <w:rPr>
          <w:rFonts w:ascii="Times New Roman" w:cs="Times New Roman" w:eastAsia="Times New Roman" w:hAnsi="Times New Roman"/>
          <w:sz w:val="17"/>
          <w:szCs w:val="17"/>
          <w:color w:val="auto"/>
        </w:rPr>
        <w:t>Throughout the periods covered by the Combined Financial Statements, FPG engaged in sales and purchases of finished goods to and from Middleby subsidiaries. These related party sales to other Middleby entities amount to $3.0 million, $2.1 million and $2.5 million, and purchases amount to $4.9 million, $4.3 million and $4.3 million, for the fiscal years ended January 3, 2026, December 28, 2024 and December 30, 2023, respectively.</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Related Party Balances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Amounts due to and due from Middleby affiliates are summarized in the table below:</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00" w:type="dxa"/>
            <w:vAlign w:val="bottom"/>
          </w:tcPr>
          <w:p>
            <w:pPr>
              <w:spacing w:after="0"/>
              <w:rPr>
                <w:sz w:val="18"/>
                <w:szCs w:val="18"/>
                <w:color w:val="auto"/>
              </w:rPr>
            </w:pPr>
          </w:p>
        </w:tc>
        <w:tc>
          <w:tcPr>
            <w:tcW w:w="178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2,106</w:t>
            </w: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5,909</w:t>
            </w:r>
          </w:p>
        </w:tc>
      </w:tr>
      <w:tr>
        <w:trPr>
          <w:trHeight w:val="216"/>
        </w:trPr>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Loans receivable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11,656</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45,610</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Loans payable</w:t>
            </w:r>
          </w:p>
        </w:tc>
        <w:tc>
          <w:tcPr>
            <w:tcW w:w="300" w:type="dxa"/>
            <w:vAlign w:val="bottom"/>
          </w:tcPr>
          <w:p>
            <w:pPr>
              <w:spacing w:after="0"/>
              <w:rPr>
                <w:sz w:val="20"/>
                <w:szCs w:val="20"/>
                <w:color w:val="auto"/>
              </w:rPr>
            </w:pP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1,763</w:t>
            </w:r>
          </w:p>
        </w:tc>
      </w:tr>
    </w:tbl>
    <w:p>
      <w:pPr>
        <w:spacing w:after="0" w:line="206" w:lineRule="exact"/>
        <w:rPr>
          <w:sz w:val="20"/>
          <w:szCs w:val="20"/>
          <w:color w:val="auto"/>
        </w:rPr>
      </w:pPr>
    </w:p>
    <w:p>
      <w:pPr>
        <w:ind w:left="424" w:hanging="424"/>
        <w:spacing w:after="0"/>
        <w:tabs>
          <w:tab w:leader="none" w:pos="42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balance in fiscal 2025 includes non-cash settlements of $16.1 million.</w:t>
      </w:r>
    </w:p>
    <w:p>
      <w:pPr>
        <w:spacing w:after="0" w:line="27"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 loans receivable and payable represent international revolving credit facilities to fund working capital needs outside the United States. At January 3, 2026 and December 28, 2024, these revolving credit facilities had a weighted average per annum interest rate of approximately 3.82% and 4.53%, respectively.</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Allocation of Corporate Expenses</w:t>
      </w:r>
    </w:p>
    <w:p>
      <w:pPr>
        <w:spacing w:after="0" w:line="119" w:lineRule="exact"/>
        <w:rPr>
          <w:sz w:val="20"/>
          <w:szCs w:val="20"/>
          <w:color w:val="auto"/>
        </w:rPr>
      </w:pPr>
    </w:p>
    <w:p>
      <w:pPr>
        <w:ind w:left="4" w:right="200"/>
        <w:spacing w:after="0" w:line="258" w:lineRule="auto"/>
        <w:rPr>
          <w:sz w:val="20"/>
          <w:szCs w:val="20"/>
          <w:color w:val="auto"/>
        </w:rPr>
      </w:pPr>
      <w:r>
        <w:rPr>
          <w:rFonts w:ascii="Times New Roman" w:cs="Times New Roman" w:eastAsia="Times New Roman" w:hAnsi="Times New Roman"/>
          <w:sz w:val="18"/>
          <w:szCs w:val="18"/>
          <w:color w:val="auto"/>
        </w:rPr>
        <w:t>The Parent has incurred costs for various corporate services provided to FPG in the ordinary course of business, including executive management, finance, accounting, tax, treasury, human resources, legal, information technology, employee benefits administration, internal audit, supply chain, and other shared services. These corporate expenses have been allocated to FPG based on direct usage or benefit, where identifiable, with the remainder allocated based on headcount, revenue or other relevant measures. Management believes the basis on which the expenses have been allocated to be a reasonable reflection of the utilization of services provided to or the benefit received by us.</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Cash Management</w:t>
      </w:r>
    </w:p>
    <w:p>
      <w:pPr>
        <w:spacing w:after="0" w:line="119"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color w:val="auto"/>
        </w:rPr>
        <w:t>Cash is managed centrally at the Middleby level. The cash presented in the Combined Balance Sheets represents cash not subject to the Middleby centralized cash management process. Cash held in the Middleby centralized cash management process and commingled accounts with the Parent, or its subsidiaries, is presented within Net Parent Investment in the Combined Balance Sheets. Only cash amounts held in bank accounts controlled by FPG entities are reflected in the Combined Balance Sheets. Middleby provides funding for our operating and investing activities including pooled cash managed by Middleby treasury to fund operating expenses and capital expenditures. Middleby also directly collects certain of our receivables. These activities are reflected as a component of Parent company net investment, and this arrangement is not reflective of the manner in which we would operate on a standalone business separate from Middleby during the periods presented.</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Net Parent Investment</w:t>
      </w:r>
    </w:p>
    <w:p>
      <w:pPr>
        <w:spacing w:after="0" w:line="119" w:lineRule="exact"/>
        <w:rPr>
          <w:sz w:val="20"/>
          <w:szCs w:val="20"/>
          <w:color w:val="auto"/>
        </w:rPr>
      </w:pPr>
    </w:p>
    <w:p>
      <w:pPr>
        <w:ind w:left="4" w:right="460"/>
        <w:spacing w:after="0" w:line="282" w:lineRule="auto"/>
        <w:rPr>
          <w:sz w:val="20"/>
          <w:szCs w:val="20"/>
          <w:color w:val="auto"/>
        </w:rPr>
      </w:pPr>
      <w:r>
        <w:rPr>
          <w:rFonts w:ascii="Times New Roman" w:cs="Times New Roman" w:eastAsia="Times New Roman" w:hAnsi="Times New Roman"/>
          <w:sz w:val="18"/>
          <w:szCs w:val="18"/>
          <w:color w:val="auto"/>
        </w:rPr>
        <w:t>Net Parent Investment on the Combined Balance Sheets represents Middleby’s historical investment in FPG, the net effect of allocations from and transactions with Middleby, FPG’s retained earnings and cumulative effect adjustments from the adoption of new accounting standards.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0984"/>
          </w:cols>
          <w:pgMar w:left="436" w:top="266"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to Parent</w:t>
      </w:r>
    </w:p>
    <w:p>
      <w:pPr>
        <w:spacing w:after="0" w:line="1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discussed in Note 1 in the basis of presentation section, Net Parent Investment is primarily impacted by contributions from Parent which are the result of treasury activity and net funding provided by or distributed to Parent. The components of net parent investment are:</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8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to Parent as reflected in the Combined Statements of Cash Flows</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$(44,964)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(18,029)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$(53,592)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deferred tax and other</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Non-cash stock issuance related to acquisition</w:t>
            </w:r>
          </w:p>
        </w:tc>
        <w:tc>
          <w:tcPr>
            <w:tcW w:w="3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transfers to Parent as reflected in the Combined Statements of Changes in</w:t>
            </w: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Parent Company Net Investment</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(8,897)</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(37,239)</w:t>
            </w: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one operating and reportable segment which reflects the manner in which the company’s Chief Operating Decision Maker (the “CODM”), the Middleby Chief Executive Officer, reviews and assesses the performance of the business and allocates resources. The company determined that the Chief Executive Officer of Middleby is the CODM who possesses the ultimate authority with respect to assessment of performance, allocation of resources, and all strategic actions of the company. In performing this responsibility, the CODM regularly reviews key internal management reports, financial information, and quarterly results.</w:t>
      </w:r>
    </w:p>
    <w:p>
      <w:pPr>
        <w:spacing w:after="0" w:line="18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FPG is reported as a single operating segment, encompassing all business activities and financial reporting for the company. The CODM does not evaluate the performance of the company or allocate resources at any level below the combined level or based on the company’s assets or liabilities.</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Adjusted EBITDA is the profitability metric reported to the CODM for purposes of making decisions about allocation of resources and assessing performance. The company defines Adjusted EBITDA as net earnings before interest, income taxes, depreciation, and intangible amortization, or EBITDA, less restructuring, acquisition related adjustments, impairment charges, stock compensation and other items which management considers to be outside core operating results. The CODM reviews this metric regularly to assess profitability, identify trends, and evaluate requirements for additional resources or strategic adjustments. The CODM uses Adjusted EBITDA to support the allocation of resources predominantly in the annual budget and forecasting process. The company believes that investors find this measure useful in comparing our operating performance to that of other companies in our industry because this measure generally illustrates the underlying performance of the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company’s business segment:</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853,157</w:t>
            </w:r>
          </w:p>
        </w:tc>
        <w:tc>
          <w:tcPr>
            <w:tcW w:w="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771,996</w:t>
            </w:r>
          </w:p>
        </w:tc>
        <w:tc>
          <w:tcPr>
            <w:tcW w:w="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759,268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544,283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466,565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470,970</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(1)</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119,378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113,202</w:t>
            </w: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Segment adjusted EBITDA </w:t>
            </w:r>
            <w:r>
              <w:rPr>
                <w:rFonts w:ascii="Times New Roman" w:cs="Times New Roman" w:eastAsia="Times New Roman" w:hAnsi="Times New Roman"/>
                <w:sz w:val="25"/>
                <w:szCs w:val="25"/>
                <w:color w:val="auto"/>
                <w:vertAlign w:val="superscript"/>
              </w:rPr>
              <w:t>(2)</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151,549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186,053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175,096</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Depreciation expense </w:t>
            </w:r>
            <w:r>
              <w:rPr>
                <w:rFonts w:ascii="Times New Roman" w:cs="Times New Roman" w:eastAsia="Times New Roman" w:hAnsi="Times New Roman"/>
                <w:sz w:val="25"/>
                <w:szCs w:val="25"/>
                <w:color w:val="auto"/>
                <w:vertAlign w:val="superscript"/>
              </w:rPr>
              <w:t>(3)</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w:t>
            </w: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1,461,013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1,282,897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1,146,825</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Long-lived assets </w:t>
            </w:r>
            <w:r>
              <w:rPr>
                <w:rFonts w:ascii="Times New Roman" w:cs="Times New Roman" w:eastAsia="Times New Roman" w:hAnsi="Times New Roman"/>
                <w:sz w:val="25"/>
                <w:szCs w:val="25"/>
                <w:color w:val="auto"/>
                <w:vertAlign w:val="superscript"/>
              </w:rPr>
              <w:t>(4)</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190,856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145,112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110,080</w:t>
            </w:r>
          </w:p>
        </w:tc>
        <w:tc>
          <w:tcPr>
            <w:tcW w:w="60" w:type="dxa"/>
            <w:vAlign w:val="bottom"/>
            <w:shd w:val="clear" w:color="auto" w:fill="CCEEFF"/>
          </w:tcPr>
          <w:p>
            <w:pPr>
              <w:spacing w:after="0"/>
              <w:rPr>
                <w:sz w:val="18"/>
                <w:szCs w:val="18"/>
                <w:color w:val="auto"/>
              </w:rPr>
            </w:pPr>
          </w:p>
        </w:tc>
      </w:tr>
      <w:tr>
        <w:trPr>
          <w:trHeight w:val="365"/>
        </w:trPr>
        <w:tc>
          <w:tcPr>
            <w:tcW w:w="3320" w:type="dxa"/>
            <w:vAlign w:val="bottom"/>
          </w:tcPr>
          <w:p>
            <w:pPr>
              <w:spacing w:after="0"/>
              <w:rPr>
                <w:sz w:val="24"/>
                <w:szCs w:val="24"/>
                <w:color w:val="auto"/>
              </w:rPr>
            </w:pPr>
          </w:p>
        </w:tc>
        <w:tc>
          <w:tcPr>
            <w:tcW w:w="292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F-28</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440" w:top="268" w:right="459" w:bottom="1440" w:gutter="0" w:footer="0" w:header="0"/>
        </w:sectPr>
      </w:pPr>
    </w:p>
    <w:bookmarkStart w:id="187" w:name="page188"/>
    <w:bookmarkEnd w:id="187"/>
    <w:p>
      <w:pPr>
        <w:ind w:left="424" w:right="100" w:hanging="424"/>
        <w:spacing w:after="0" w:line="255" w:lineRule="auto"/>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segment items includes operating expenses, which primarily consists of selling, general and administrative expenses and the 2024 gain on sale of plant. Other segment items excludes the impact of depreciation, intangible amortization, restructuring, impairment charges, stock compensation and other items that neither relate to the ordinary course of the Company’s business nor reflect the Company’s underlying business performance.</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impacts mentioned in Other segment items.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of finance lease ROU assets.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consist of property, plant and equipment and other assets.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reconciliation of segment Adjusted EBITDA to net earnings is as follows:</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151,549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$186,053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$175,096</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Less: Other segment operating expenses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101,332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(2,018)</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(2,168)</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(8,694)</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(1,147)</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(8,765)</w:t>
            </w: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112,044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160,646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158,131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122,279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120,283</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hanging="424"/>
        <w:spacing w:after="0" w:line="282" w:lineRule="auto"/>
        <w:tabs>
          <w:tab w:leader="none" w:pos="4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impact of depreciation, intangible amortization, restructuring, impairment charges, stock compensation and other items that neither relate to the ordinary course of the Company’s business nor reflect the Company’s underlying business performance.</w:t>
      </w:r>
    </w:p>
    <w:p>
      <w:pPr>
        <w:spacing w:after="0" w:line="378" w:lineRule="exact"/>
        <w:rPr>
          <w:sz w:val="20"/>
          <w:szCs w:val="20"/>
          <w:color w:val="auto"/>
        </w:rPr>
      </w:pPr>
    </w:p>
    <w:p>
      <w:pPr>
        <w:ind w:left="4644"/>
        <w:spacing w:after="0"/>
        <w:rPr>
          <w:sz w:val="20"/>
          <w:szCs w:val="20"/>
          <w:color w:val="auto"/>
        </w:rPr>
      </w:pPr>
      <w:r>
        <w:rPr>
          <w:rFonts w:ascii="Times New Roman" w:cs="Times New Roman" w:eastAsia="Times New Roman" w:hAnsi="Times New Roman"/>
          <w:sz w:val="18"/>
          <w:szCs w:val="18"/>
          <w:u w:val="single" w:color="auto"/>
          <w:color w:val="auto"/>
        </w:rPr>
        <w:t>Geographic Information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Long-lived assets, excluding goodwill and other intangibles is as follows: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101,623</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Europe, Middle East and Africa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84,859</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48,914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3,340</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4,084</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40" w:type="dxa"/>
            <w:vAlign w:val="bottom"/>
          </w:tcPr>
          <w:p>
            <w:pPr>
              <w:spacing w:after="0"/>
              <w:rPr>
                <w:sz w:val="19"/>
                <w:szCs w:val="19"/>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International</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89,233</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53,749</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190,856</w:t>
            </w:r>
          </w:p>
        </w:tc>
        <w:tc>
          <w:tcPr>
            <w:tcW w:w="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145,112</w:t>
            </w:r>
          </w:p>
        </w:tc>
        <w:tc>
          <w:tcPr>
            <w:tcW w:w="4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344" w:right="1260" w:hanging="5344"/>
        <w:spacing w:after="0" w:line="454" w:lineRule="auto"/>
        <w:tabs>
          <w:tab w:leader="none" w:pos="43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long-lived assets in Italy of $54.7 million and $29.9 million as of January 3, 2026 and December 28, 2024, respectively. F-29</w:t>
      </w:r>
    </w:p>
    <w:p>
      <w:pPr>
        <w:sectPr>
          <w:pgSz w:w="11900" w:h="16838" w:orient="portrait"/>
          <w:cols w:equalWidth="0" w:num="1">
            <w:col w:w="10984"/>
          </w:cols>
          <w:pgMar w:left="436" w:top="270" w:right="479" w:bottom="1440" w:gutter="0" w:footer="0" w:header="0"/>
        </w:sectPr>
      </w:pPr>
    </w:p>
    <w:bookmarkStart w:id="188" w:name="page189"/>
    <w:bookmarkEnd w:id="188"/>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MIDDLEBY FOOD PROCESSING GROUP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COMBINED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8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0" w:type="dxa"/>
            <w:vAlign w:val="bottom"/>
          </w:tcPr>
          <w:p>
            <w:pPr>
              <w:spacing w:after="0"/>
              <w:rPr>
                <w:sz w:val="1"/>
                <w:szCs w:val="1"/>
                <w:color w:val="auto"/>
              </w:rPr>
            </w:pPr>
          </w:p>
        </w:tc>
      </w:tr>
      <w:tr>
        <w:trPr>
          <w:trHeight w:val="155"/>
        </w:trPr>
        <w:tc>
          <w:tcPr>
            <w:tcW w:w="86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57,929</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90,913</w:t>
            </w:r>
          </w:p>
        </w:tc>
        <w:tc>
          <w:tcPr>
            <w:tcW w:w="0" w:type="dxa"/>
            <w:vAlign w:val="bottom"/>
          </w:tcPr>
          <w:p>
            <w:pPr>
              <w:spacing w:after="0"/>
              <w:rPr>
                <w:sz w:val="1"/>
                <w:szCs w:val="1"/>
                <w:color w:val="auto"/>
              </w:rPr>
            </w:pPr>
          </w:p>
        </w:tc>
      </w:tr>
      <w:tr>
        <w:trPr>
          <w:trHeight w:val="216"/>
        </w:trPr>
        <w:tc>
          <w:tcPr>
            <w:tcW w:w="8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Accounts receivable, net of reserve for doubtful accounts of $8,902 and $9,140</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208,354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215,310</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accounts receivable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16"/>
        </w:trPr>
        <w:tc>
          <w:tcPr>
            <w:tcW w:w="8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208,187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193,571</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66,493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79,584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$68,898 and $65,849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161,612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163,246</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498,701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502,317</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169,019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173,256</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loans receivable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11,656</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27,610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1,413,675</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1,461,013</w:t>
            </w:r>
          </w:p>
        </w:tc>
        <w:tc>
          <w:tcPr>
            <w:tcW w:w="0" w:type="dxa"/>
            <w:vAlign w:val="bottom"/>
          </w:tcPr>
          <w:p>
            <w:pPr>
              <w:spacing w:after="0"/>
              <w:rPr>
                <w:sz w:val="1"/>
                <w:szCs w:val="1"/>
                <w:color w:val="auto"/>
              </w:rPr>
            </w:pPr>
          </w:p>
        </w:tc>
      </w:tr>
      <w:tr>
        <w:trPr>
          <w:trHeight w:val="20"/>
        </w:trPr>
        <w:tc>
          <w:tcPr>
            <w:tcW w:w="8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4,482</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4,765</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73,839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77,148</w:t>
            </w:r>
          </w:p>
        </w:tc>
        <w:tc>
          <w:tcPr>
            <w:tcW w:w="0" w:type="dxa"/>
            <w:vAlign w:val="bottom"/>
          </w:tcPr>
          <w:p>
            <w:pPr>
              <w:spacing w:after="0"/>
              <w:rPr>
                <w:sz w:val="1"/>
                <w:szCs w:val="1"/>
                <w:color w:val="auto"/>
              </w:rPr>
            </w:pPr>
          </w:p>
        </w:tc>
      </w:tr>
      <w:tr>
        <w:trPr>
          <w:trHeight w:val="216"/>
        </w:trPr>
        <w:tc>
          <w:tcPr>
            <w:tcW w:w="8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Related party accounts payable</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220,934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217,187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28,722</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33,699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35,100</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35,248</w:t>
            </w:r>
          </w:p>
        </w:tc>
        <w:tc>
          <w:tcPr>
            <w:tcW w:w="0" w:type="dxa"/>
            <w:vAlign w:val="bottom"/>
          </w:tcPr>
          <w:p>
            <w:pPr>
              <w:spacing w:after="0"/>
              <w:rPr>
                <w:sz w:val="1"/>
                <w:szCs w:val="1"/>
                <w:color w:val="auto"/>
              </w:rPr>
            </w:pPr>
          </w:p>
        </w:tc>
      </w:tr>
      <w:tr>
        <w:trPr>
          <w:trHeight w:val="216"/>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company net investment: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Net Parent Investment (NPI)</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1,049,926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1,088,251</w:t>
            </w:r>
          </w:p>
        </w:tc>
        <w:tc>
          <w:tcPr>
            <w:tcW w:w="0" w:type="dxa"/>
            <w:vAlign w:val="bottom"/>
          </w:tcPr>
          <w:p>
            <w:pPr>
              <w:spacing w:after="0"/>
              <w:rPr>
                <w:sz w:val="1"/>
                <w:szCs w:val="1"/>
                <w:color w:val="auto"/>
              </w:rPr>
            </w:pPr>
          </w:p>
        </w:tc>
      </w:tr>
      <w:tr>
        <w:trPr>
          <w:trHeight w:val="216"/>
        </w:trPr>
        <w:tc>
          <w:tcPr>
            <w:tcW w:w="86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(27,514)</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Parent company net investment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1,016,598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1,060,737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Parent company net investment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1,413,675</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1,461,013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to Condensed Combined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are an integral part of these condensed combined financial statements.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20"/>
          </w:cols>
          <w:pgMar w:left="440" w:top="266" w:right="439" w:bottom="1440" w:gutter="0" w:footer="0" w:header="0"/>
        </w:sectPr>
      </w:pPr>
    </w:p>
    <w:bookmarkStart w:id="189" w:name="page190"/>
    <w:bookmarkEnd w:id="189"/>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MIDDLEBY FOOD PROCESSING GROUP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COMBINED STATEMENTS OF EARNINGS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8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4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20" w:type="dxa"/>
            <w:vAlign w:val="bottom"/>
          </w:tcPr>
          <w:p>
            <w:pPr>
              <w:spacing w:after="0"/>
              <w:rPr>
                <w:sz w:val="12"/>
                <w:szCs w:val="12"/>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225,046</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147,638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107,548</w:t>
            </w:r>
          </w:p>
        </w:tc>
      </w:tr>
      <w:tr>
        <w:trPr>
          <w:trHeight w:val="27"/>
        </w:trPr>
        <w:tc>
          <w:tcPr>
            <w:tcW w:w="58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60,952</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59,073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45,299</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2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15,542</w:t>
            </w:r>
          </w:p>
        </w:tc>
        <w:tc>
          <w:tcPr>
            <w:tcW w:w="12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r>
      <w:tr>
        <w:trPr>
          <w:trHeight w:val="27"/>
        </w:trPr>
        <w:tc>
          <w:tcPr>
            <w:tcW w:w="58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16,423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4,179</w:t>
            </w:r>
          </w:p>
        </w:tc>
      </w:tr>
      <w:tr>
        <w:trPr>
          <w:trHeight w:val="27"/>
        </w:trPr>
        <w:tc>
          <w:tcPr>
            <w:tcW w:w="58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800" w:type="dxa"/>
            <w:vAlign w:val="bottom"/>
            <w:gridSpan w:val="2"/>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14,319</w:t>
            </w: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12,244</w:t>
            </w:r>
          </w:p>
        </w:tc>
      </w:tr>
      <w:tr>
        <w:trPr>
          <w:trHeight w:val="20"/>
        </w:trPr>
        <w:tc>
          <w:tcPr>
            <w:tcW w:w="5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to Condensed Combined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are an integral part of these condensed combined financial statements.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20"/>
          </w:cols>
          <w:pgMar w:left="440" w:top="266" w:right="439" w:bottom="1440" w:gutter="0" w:footer="0" w:header="0"/>
        </w:sectPr>
      </w:pPr>
    </w:p>
    <w:bookmarkStart w:id="190" w:name="page191"/>
    <w:bookmarkEnd w:id="190"/>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MIDDLEBY FOOD PROCESSING GROUP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COMBINED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7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3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60" w:type="dxa"/>
            <w:vAlign w:val="bottom"/>
          </w:tcPr>
          <w:p>
            <w:pPr>
              <w:spacing w:after="0"/>
              <w:rPr>
                <w:sz w:val="12"/>
                <w:szCs w:val="12"/>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(5,814)</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13,834</w:t>
            </w:r>
          </w:p>
        </w:tc>
      </w:tr>
      <w:tr>
        <w:trPr>
          <w:trHeight w:val="230"/>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7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60" w:type="dxa"/>
            <w:vAlign w:val="bottom"/>
          </w:tcPr>
          <w:p>
            <w:pPr>
              <w:spacing w:after="0"/>
              <w:rPr>
                <w:sz w:val="20"/>
                <w:szCs w:val="20"/>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96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8,505</w:t>
            </w:r>
          </w:p>
        </w:tc>
        <w:tc>
          <w:tcPr>
            <w:tcW w:w="74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26,078</w:t>
            </w:r>
          </w:p>
        </w:tc>
      </w:tr>
      <w:tr>
        <w:trPr>
          <w:trHeight w:val="20"/>
        </w:trPr>
        <w:tc>
          <w:tcPr>
            <w:tcW w:w="5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to Condensed Combined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are an integral part of these condensed combined financial statements.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20"/>
          </w:cols>
          <w:pgMar w:left="440" w:top="266" w:right="439" w:bottom="1440" w:gutter="0" w:footer="0" w:header="0"/>
        </w:sectPr>
      </w:pPr>
    </w:p>
    <w:bookmarkStart w:id="191" w:name="page192"/>
    <w:bookmarkEnd w:id="191"/>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MIDDLEBY FOOD PROCESSING GROUP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COMBINED STATEMENTS OF CHANGES IN PARENT COMPANY NET INVESTMENT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gridSpan w:val="3"/>
          </w:tcPr>
          <w:p>
            <w:pPr>
              <w:jc w:val="center"/>
              <w:ind w:right="4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200" w:type="dxa"/>
            <w:vAlign w:val="bottom"/>
          </w:tcPr>
          <w:p>
            <w:pPr>
              <w:spacing w:after="0"/>
              <w:rPr>
                <w:sz w:val="12"/>
                <w:szCs w:val="12"/>
                <w:color w:val="auto"/>
              </w:rPr>
            </w:pPr>
          </w:p>
        </w:tc>
        <w:tc>
          <w:tcPr>
            <w:tcW w:w="1300" w:type="dxa"/>
            <w:vAlign w:val="bottom"/>
            <w:gridSpan w:val="2"/>
          </w:tcPr>
          <w:p>
            <w:pPr>
              <w:jc w:val="center"/>
              <w:ind w:right="6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00" w:type="dxa"/>
            <w:vAlign w:val="bottom"/>
            <w:gridSpan w:val="3"/>
          </w:tcPr>
          <w:p>
            <w:pPr>
              <w:jc w:val="center"/>
              <w:ind w:right="46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Parent Company</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5"/>
                <w:szCs w:val="15"/>
                <w:color w:val="auto"/>
              </w:rPr>
            </w:pPr>
          </w:p>
        </w:tc>
        <w:tc>
          <w:tcPr>
            <w:tcW w:w="1300" w:type="dxa"/>
            <w:vAlign w:val="bottom"/>
            <w:gridSpan w:val="2"/>
          </w:tcPr>
          <w:p>
            <w:pPr>
              <w:jc w:val="center"/>
              <w:ind w:right="6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1,088,251</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(27,514</w:t>
            </w:r>
          </w:p>
        </w:tc>
        <w:tc>
          <w:tcPr>
            <w:tcW w:w="540" w:type="dxa"/>
            <w:vAlign w:val="bottom"/>
            <w:tcBorders>
              <w:top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1,060,737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rPr>
              <w:t>(5,814)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Parent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(52,644)</w:t>
            </w:r>
          </w:p>
        </w:tc>
        <w:tc>
          <w:tcPr>
            <w:tcW w:w="2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(52,644)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April 4, 2026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1,049,926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(33,328)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1,016,598</w:t>
            </w:r>
          </w:p>
        </w:tc>
        <w:tc>
          <w:tcPr>
            <w:tcW w:w="0" w:type="dxa"/>
            <w:vAlign w:val="bottom"/>
          </w:tcPr>
          <w:p>
            <w:pPr>
              <w:spacing w:after="0"/>
              <w:rPr>
                <w:sz w:val="1"/>
                <w:szCs w:val="1"/>
                <w:color w:val="auto"/>
              </w:rPr>
            </w:pPr>
          </w:p>
        </w:tc>
      </w:tr>
      <w:tr>
        <w:trPr>
          <w:trHeight w:val="374"/>
        </w:trPr>
        <w:tc>
          <w:tcPr>
            <w:tcW w:w="70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200" w:type="dxa"/>
            <w:vAlign w:val="bottom"/>
          </w:tcPr>
          <w:p>
            <w:pPr>
              <w:spacing w:after="0"/>
              <w:rPr>
                <w:sz w:val="12"/>
                <w:szCs w:val="12"/>
                <w:color w:val="auto"/>
              </w:rPr>
            </w:pPr>
          </w:p>
        </w:tc>
        <w:tc>
          <w:tcPr>
            <w:tcW w:w="1300" w:type="dxa"/>
            <w:vAlign w:val="bottom"/>
            <w:gridSpan w:val="2"/>
          </w:tcPr>
          <w:p>
            <w:pPr>
              <w:jc w:val="center"/>
              <w:ind w:right="66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00" w:type="dxa"/>
            <w:vAlign w:val="bottom"/>
            <w:gridSpan w:val="3"/>
          </w:tcPr>
          <w:p>
            <w:pPr>
              <w:jc w:val="center"/>
              <w:ind w:right="46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Parent Company</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5"/>
                <w:szCs w:val="15"/>
                <w:color w:val="auto"/>
              </w:rPr>
            </w:pPr>
          </w:p>
        </w:tc>
        <w:tc>
          <w:tcPr>
            <w:tcW w:w="1300" w:type="dxa"/>
            <w:vAlign w:val="bottom"/>
            <w:gridSpan w:val="2"/>
          </w:tcPr>
          <w:p>
            <w:pPr>
              <w:jc w:val="center"/>
              <w:ind w:right="6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1,038,094</w:t>
            </w: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(38,307</w:t>
            </w:r>
          </w:p>
        </w:tc>
        <w:tc>
          <w:tcPr>
            <w:tcW w:w="540" w:type="dxa"/>
            <w:vAlign w:val="bottom"/>
            <w:tcBorders>
              <w:top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999,787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1"/>
              <w:spacing w:after="0"/>
              <w:rPr>
                <w:sz w:val="20"/>
                <w:szCs w:val="20"/>
                <w:color w:val="auto"/>
              </w:rPr>
            </w:pPr>
            <w:r>
              <w:rPr>
                <w:rFonts w:ascii="Times New Roman" w:cs="Times New Roman" w:eastAsia="Times New Roman" w:hAnsi="Times New Roman"/>
                <w:sz w:val="18"/>
                <w:szCs w:val="18"/>
                <w:color w:val="auto"/>
              </w:rPr>
              <w:t>13,834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13,834</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transfers to Parent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(19,352)</w:t>
            </w:r>
          </w:p>
        </w:tc>
        <w:tc>
          <w:tcPr>
            <w:tcW w:w="20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(19,352)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29,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1,030,986</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(24,473)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1,006,513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to Condensed Combined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are an integral part of these condensed combined financial statements.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20"/>
          </w:cols>
          <w:pgMar w:left="440" w:top="266" w:right="439" w:bottom="1440" w:gutter="0" w:footer="0" w:header="0"/>
        </w:sectPr>
      </w:pPr>
    </w:p>
    <w:bookmarkStart w:id="192" w:name="page193"/>
    <w:bookmarkEnd w:id="192"/>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MIDDLEBY FOOD PROCESSING GROUP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COMBINED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32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20" w:type="dxa"/>
            <w:vAlign w:val="bottom"/>
          </w:tcPr>
          <w:p>
            <w:pPr>
              <w:spacing w:after="0"/>
              <w:rPr>
                <w:sz w:val="12"/>
                <w:szCs w:val="12"/>
                <w:color w:val="auto"/>
              </w:rPr>
            </w:pPr>
          </w:p>
        </w:tc>
      </w:tr>
      <w:tr>
        <w:trPr>
          <w:trHeight w:val="196"/>
        </w:trPr>
        <w:tc>
          <w:tcPr>
            <w:tcW w:w="7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14,319</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12,244</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6,572</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5,964</w:t>
            </w:r>
          </w:p>
        </w:tc>
      </w:tr>
      <w:tr>
        <w:trPr>
          <w:trHeight w:val="216"/>
        </w:trPr>
        <w:tc>
          <w:tcPr>
            <w:tcW w:w="7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2,508</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7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income taxes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(1,372)</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Other non-cash items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4,639</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25,644</w:t>
            </w:r>
          </w:p>
        </w:tc>
      </w:tr>
      <w:tr>
        <w:trPr>
          <w:trHeight w:val="216"/>
        </w:trPr>
        <w:tc>
          <w:tcPr>
            <w:tcW w:w="7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Inventories, net</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(16,260)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(18,788)</w:t>
            </w:r>
          </w:p>
        </w:tc>
      </w:tr>
      <w:tr>
        <w:trPr>
          <w:trHeight w:val="216"/>
        </w:trPr>
        <w:tc>
          <w:tcPr>
            <w:tcW w:w="7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11,976</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6,159</w:t>
            </w:r>
          </w:p>
        </w:tc>
      </w:tr>
      <w:tr>
        <w:trPr>
          <w:trHeight w:val="216"/>
        </w:trPr>
        <w:tc>
          <w:tcPr>
            <w:tcW w:w="7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1,899</w:t>
            </w:r>
          </w:p>
        </w:tc>
      </w:tr>
      <w:tr>
        <w:trPr>
          <w:trHeight w:val="216"/>
        </w:trPr>
        <w:tc>
          <w:tcPr>
            <w:tcW w:w="7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14,211</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5,921</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34,499</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39,198</w:t>
            </w:r>
          </w:p>
        </w:tc>
        <w:tc>
          <w:tcPr>
            <w:tcW w:w="1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(3,403)</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(19,291)</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Collections of loans to related parties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11,801</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3,022</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made to related parties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(11,519)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(2,156)</w:t>
            </w:r>
          </w:p>
        </w:tc>
      </w:tr>
      <w:tr>
        <w:trPr>
          <w:trHeight w:val="27"/>
        </w:trPr>
        <w:tc>
          <w:tcPr>
            <w:tcW w:w="7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(18,416)</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transfers to Parent</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(55,298)</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(17,963)</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foreign loans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(489)</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of deferred purchase price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(7,112)</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7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(63,267)</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(18,357)</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tc>
        <w:tc>
          <w:tcPr>
            <w:tcW w:w="1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cash and cash equivalents: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(32,984)</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4,854</w:t>
            </w: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90,913</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59,221</w:t>
            </w:r>
          </w:p>
        </w:tc>
      </w:tr>
      <w:tr>
        <w:trPr>
          <w:trHeight w:val="223"/>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57,929</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64,075</w:t>
            </w:r>
          </w:p>
        </w:tc>
        <w:tc>
          <w:tcPr>
            <w:tcW w:w="12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3,309</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4,168</w:t>
            </w: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to Condensed Combined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are an integral part of these condensed combined financial statements.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20"/>
          </w:cols>
          <w:pgMar w:left="440" w:top="266" w:right="439" w:bottom="1440" w:gutter="0" w:footer="0" w:header="0"/>
        </w:sectPr>
      </w:pPr>
    </w:p>
    <w:bookmarkStart w:id="193" w:name="page194"/>
    <w:bookmarkEnd w:id="193"/>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MIDDLEBY FOOD PROCESSING GROUP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COMBINED FINANCIAL STATEMENTS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424" w:hanging="424"/>
        <w:spacing w:after="0"/>
        <w:tabs>
          <w:tab w:leader="none" w:pos="42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BASIS OF PRESENTATION</w:t>
      </w:r>
    </w:p>
    <w:p>
      <w:pPr>
        <w:spacing w:after="0" w:line="133" w:lineRule="exact"/>
        <w:rPr>
          <w:sz w:val="20"/>
          <w:szCs w:val="20"/>
          <w:color w:val="auto"/>
        </w:rPr>
      </w:pPr>
    </w:p>
    <w:p>
      <w:pPr>
        <w:ind w:left="964" w:hanging="532"/>
        <w:spacing w:after="0"/>
        <w:tabs>
          <w:tab w:leader="none" w:pos="964" w:val="left"/>
        </w:tabs>
        <w:numPr>
          <w:ilvl w:val="0"/>
          <w:numId w:val="1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ind w:left="444" w:right="120"/>
        <w:spacing w:after="0" w:line="261" w:lineRule="auto"/>
        <w:rPr>
          <w:sz w:val="20"/>
          <w:szCs w:val="20"/>
          <w:color w:val="auto"/>
        </w:rPr>
      </w:pPr>
      <w:r>
        <w:rPr>
          <w:rFonts w:ascii="Times New Roman" w:cs="Times New Roman" w:eastAsia="Times New Roman" w:hAnsi="Times New Roman"/>
          <w:sz w:val="18"/>
          <w:szCs w:val="18"/>
          <w:color w:val="auto"/>
        </w:rPr>
        <w:t>The Middleby Corporation’s Food Processing Equipment Group (the “Middleby Food Processing Group”, “Food Processing Equipment Group”, the “company” or “FPG”) is engaged in the design, manufacture and sale of food processing equipment. The company manufactures and assembles this equipment at thirteen U.S. and sixteen international manufacturing facilities. For the avoidance of doubt, when using the terms “we”, “us” or “our” throughout this report, it is in reference to the company.</w:t>
      </w:r>
    </w:p>
    <w:p>
      <w:pPr>
        <w:spacing w:after="0" w:line="326" w:lineRule="exact"/>
        <w:rPr>
          <w:sz w:val="20"/>
          <w:szCs w:val="20"/>
          <w:color w:val="auto"/>
        </w:rPr>
      </w:pPr>
    </w:p>
    <w:p>
      <w:pPr>
        <w:ind w:left="964" w:hanging="532"/>
        <w:spacing w:after="0"/>
        <w:tabs>
          <w:tab w:leader="none" w:pos="964" w:val="left"/>
        </w:tabs>
        <w:numPr>
          <w:ilvl w:val="0"/>
          <w:numId w:val="1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444" w:right="240"/>
        <w:spacing w:after="0" w:line="256" w:lineRule="auto"/>
        <w:rPr>
          <w:sz w:val="20"/>
          <w:szCs w:val="20"/>
          <w:color w:val="auto"/>
        </w:rPr>
      </w:pPr>
      <w:r>
        <w:rPr>
          <w:rFonts w:ascii="Times New Roman" w:cs="Times New Roman" w:eastAsia="Times New Roman" w:hAnsi="Times New Roman"/>
          <w:sz w:val="18"/>
          <w:szCs w:val="18"/>
          <w:color w:val="auto"/>
        </w:rPr>
        <w:t>The company has historically operated as part of The Middleby Corporation (“Middleby” or “Parent”) and not as a separate entity. These Condensed Combined Financial Statements of the company have been derived from the historical condensed consolidated financial statements and accounting records of the Parent to present the Food Processing Equipment Group’s Condensed Combined Financial Statements as if the company had been operated on a standalone basis for the periods presented. The historical condensed combined financial statements (together with the notes thereto, the “condensed combined financial statements”) reflect our financial position, results of operations and cash flows as we were historically managed, in conformity with generally accepted accounting principles in the United States (“U.S. GAAP”).</w:t>
      </w:r>
    </w:p>
    <w:p>
      <w:pPr>
        <w:spacing w:after="0" w:line="79" w:lineRule="exact"/>
        <w:rPr>
          <w:sz w:val="20"/>
          <w:szCs w:val="20"/>
          <w:color w:val="auto"/>
        </w:rPr>
      </w:pPr>
    </w:p>
    <w:p>
      <w:pPr>
        <w:ind w:left="444"/>
        <w:spacing w:after="0" w:line="254" w:lineRule="auto"/>
        <w:rPr>
          <w:sz w:val="20"/>
          <w:szCs w:val="20"/>
          <w:color w:val="auto"/>
        </w:rPr>
      </w:pPr>
      <w:r>
        <w:rPr>
          <w:rFonts w:ascii="Times New Roman" w:cs="Times New Roman" w:eastAsia="Times New Roman" w:hAnsi="Times New Roman"/>
          <w:sz w:val="18"/>
          <w:szCs w:val="18"/>
          <w:color w:val="auto"/>
        </w:rPr>
        <w:t>The Condensed Combined Financial Statements include the assets, liabilities, net sales and expenses that management has determined are specifically or primarily identifiable to us, as well as direct and indirect costs that are attributable to our operations. Indirect costs have been allocated to us for the purposes of preparing the Condensed Combined Financial Statements based on a specific identification basis or, when specific identification is not practicable, a proportional cost allocation method, primarily based on net sales, headcount or other allocation methodologies that are considered to be a reasonable reflection of the utilization of services provided or the benefit received by us during the periods presented. As a result, the financial information included in these Condensed Combined Financial Statements may not necessarily reflect what our financial condition, results of operations or cash flows would have been had we been a standalone company during the periods presented, including changes that will occur in our operations and capital structure as a result of becoming a separate company.</w:t>
      </w:r>
    </w:p>
    <w:p>
      <w:pPr>
        <w:spacing w:after="0" w:line="84" w:lineRule="exact"/>
        <w:rPr>
          <w:sz w:val="20"/>
          <w:szCs w:val="20"/>
          <w:color w:val="auto"/>
        </w:rPr>
      </w:pPr>
    </w:p>
    <w:p>
      <w:pPr>
        <w:ind w:left="444" w:right="60"/>
        <w:spacing w:after="0" w:line="274" w:lineRule="auto"/>
        <w:rPr>
          <w:sz w:val="20"/>
          <w:szCs w:val="20"/>
          <w:color w:val="auto"/>
        </w:rPr>
      </w:pPr>
      <w:r>
        <w:rPr>
          <w:rFonts w:ascii="Times New Roman" w:cs="Times New Roman" w:eastAsia="Times New Roman" w:hAnsi="Times New Roman"/>
          <w:sz w:val="17"/>
          <w:szCs w:val="17"/>
          <w:color w:val="auto"/>
        </w:rPr>
        <w:t>All intercompany transactions and balances within the company have been eliminated. All transactions between the company and the Parent are considered to be settled in the Condensed Combined Financial Statements at the time the transaction is recorded, with the exception of loans and indemnified amounts which could potentially be settled in future periods. The effects of the settlement of these transactions between the company and the Parent are reflected in the Condensed Combined Statements of Cash Flows as “Net transfers to Parent” within financing activities, and in the Condensed Combined Balance Sheets and Condensed Combined Statements of Changes in Parent Company Net Investment as “Net Parent Investment”. Other transactions with Middleby subsidiaries that are cash settled are recorded as amounts due to or due from related parties.</w:t>
      </w:r>
    </w:p>
    <w:p>
      <w:pPr>
        <w:spacing w:after="0" w:line="65" w:lineRule="exact"/>
        <w:rPr>
          <w:sz w:val="20"/>
          <w:szCs w:val="20"/>
          <w:color w:val="auto"/>
        </w:rPr>
      </w:pPr>
    </w:p>
    <w:p>
      <w:pPr>
        <w:ind w:left="444" w:right="100"/>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Combined Financial Statements have been prepared pursuant to the rules and regulations of the Securities and Exchange Commission applicable to interim financial information and do not include all of the information and note disclosures required by U.S. GAAP for complete financial statements. These unaudited interim Condensed Combined Financial Statements should be read in conjunction with the audited Combined Financial Statements and Notes thereto for the fiscal year ended January 3, 2026.</w:t>
      </w:r>
    </w:p>
    <w:p>
      <w:pPr>
        <w:spacing w:after="0" w:line="72" w:lineRule="exact"/>
        <w:rPr>
          <w:sz w:val="20"/>
          <w:szCs w:val="20"/>
          <w:color w:val="auto"/>
        </w:rPr>
      </w:pPr>
    </w:p>
    <w:p>
      <w:pPr>
        <w:ind w:left="444" w:right="260"/>
        <w:spacing w:after="0" w:line="282" w:lineRule="auto"/>
        <w:rPr>
          <w:sz w:val="20"/>
          <w:szCs w:val="20"/>
          <w:color w:val="auto"/>
        </w:rPr>
      </w:pPr>
      <w:r>
        <w:rPr>
          <w:rFonts w:ascii="Times New Roman" w:cs="Times New Roman" w:eastAsia="Times New Roman" w:hAnsi="Times New Roman"/>
          <w:sz w:val="18"/>
          <w:szCs w:val="18"/>
          <w:color w:val="auto"/>
        </w:rPr>
        <w:t>The preparation of these financial statements requires the company to make estimates and judgments that affect the reported amounts of assets, liabilities, revenues and expenses as well as related disclosures. On an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04"/>
          </w:cols>
          <w:pgMar w:left="436" w:top="266" w:right="459" w:bottom="1440" w:gutter="0" w:footer="0" w:header="0"/>
        </w:sectPr>
      </w:pPr>
    </w:p>
    <w:bookmarkStart w:id="194" w:name="page195"/>
    <w:bookmarkEnd w:id="194"/>
    <w:p>
      <w:pPr>
        <w:ind w:left="44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ongoing basis, the company evaluates its estimates and assumptions based on historical experience and various other factors that are believed to be reasonable under the circumstances. Actual results may differ from these estimates under different assumptions or conditions. The unaudited interim Condensed Combined Financial Statements reflect all adjustments of a normal, recurring nature that are, in the opinion of management, necessary for a fair presentation of the interim periods. The company’s interim results are not necessarily indicative of the results to be expected for the full fiscal year.</w:t>
      </w:r>
    </w:p>
    <w:p>
      <w:pPr>
        <w:spacing w:after="0" w:line="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company’s fiscal year ends on the Saturday nearest December 31. All fiscal quarters presented included 13 weeks.</w:t>
      </w:r>
    </w:p>
    <w:p>
      <w:pPr>
        <w:spacing w:after="0" w:line="372" w:lineRule="exact"/>
        <w:rPr>
          <w:sz w:val="20"/>
          <w:szCs w:val="20"/>
          <w:color w:val="auto"/>
        </w:rPr>
      </w:pPr>
    </w:p>
    <w:p>
      <w:pPr>
        <w:ind w:left="964" w:hanging="532"/>
        <w:spacing w:after="0"/>
        <w:tabs>
          <w:tab w:leader="none" w:pos="964" w:val="left"/>
        </w:tabs>
        <w:numPr>
          <w:ilvl w:val="0"/>
          <w:numId w:val="1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Subsequent Events</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Subsequent events were evaluated through May 27, 2026, the date the Condensed Combined Financial Statements were issued.</w:t>
      </w:r>
    </w:p>
    <w:p>
      <w:pPr>
        <w:spacing w:after="0" w:line="370" w:lineRule="exact"/>
        <w:rPr>
          <w:sz w:val="20"/>
          <w:szCs w:val="20"/>
          <w:color w:val="auto"/>
        </w:rPr>
      </w:pPr>
    </w:p>
    <w:p>
      <w:pPr>
        <w:ind w:left="444" w:right="6460" w:hanging="444"/>
        <w:spacing w:after="0" w:line="377" w:lineRule="auto"/>
        <w:tabs>
          <w:tab w:leader="none" w:pos="436"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RECENTLY ISSUED ACCOUNTING STANDARDS </w:t>
      </w:r>
      <w:r>
        <w:rPr>
          <w:rFonts w:ascii="Times New Roman" w:cs="Times New Roman" w:eastAsia="Times New Roman" w:hAnsi="Times New Roman"/>
          <w:sz w:val="18"/>
          <w:szCs w:val="18"/>
          <w:i w:val="1"/>
          <w:iCs w:val="1"/>
          <w:color w:val="auto"/>
        </w:rPr>
        <w:t>Accounting Standards - To be adopted</w:t>
      </w:r>
    </w:p>
    <w:p>
      <w:pPr>
        <w:spacing w:after="0" w:line="1" w:lineRule="exact"/>
        <w:rPr>
          <w:rFonts w:ascii="Times New Roman" w:cs="Times New Roman" w:eastAsia="Times New Roman" w:hAnsi="Times New Roman"/>
          <w:sz w:val="18"/>
          <w:szCs w:val="18"/>
          <w:b w:val="1"/>
          <w:bCs w:val="1"/>
          <w:color w:val="auto"/>
        </w:rPr>
      </w:pPr>
    </w:p>
    <w:p>
      <w:pPr>
        <w:ind w:left="444"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Financial Accounting Standards Board issued Accounting Standards Update (“ASU”) 2024-03, Income Statement - Reporting Comprehensive Income—Expense Disaggregation Disclosures (Subtopic 220-40):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Adoption of the standard should be applied prospectively, but may be applied retrospectively to all prior periods presented in the financial statements. Early adoption is permitted. The company is currently evaluating the impact of the adoption of this standard.</w:t>
      </w:r>
    </w:p>
    <w:p>
      <w:pPr>
        <w:spacing w:after="0" w:line="333" w:lineRule="exact"/>
        <w:rPr>
          <w:rFonts w:ascii="Times New Roman" w:cs="Times New Roman" w:eastAsia="Times New Roman" w:hAnsi="Times New Roman"/>
          <w:sz w:val="18"/>
          <w:szCs w:val="18"/>
          <w:b w:val="1"/>
          <w:bCs w:val="1"/>
          <w:color w:val="auto"/>
        </w:rPr>
      </w:pPr>
    </w:p>
    <w:p>
      <w:pPr>
        <w:jc w:val="both"/>
        <w:ind w:left="444" w:right="9240" w:hanging="444"/>
        <w:spacing w:after="0" w:line="400" w:lineRule="auto"/>
        <w:tabs>
          <w:tab w:leader="none" w:pos="436"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ACQUISITIONS </w:t>
      </w:r>
      <w:r>
        <w:rPr>
          <w:rFonts w:ascii="Times New Roman" w:cs="Times New Roman" w:eastAsia="Times New Roman" w:hAnsi="Times New Roman"/>
          <w:sz w:val="17"/>
          <w:szCs w:val="17"/>
          <w:i w:val="1"/>
          <w:iCs w:val="1"/>
          <w:color w:val="auto"/>
        </w:rPr>
        <w:t>2026 Acquisitions</w:t>
      </w: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 acquisitions were completed during the three months ended April 4, 2026.</w:t>
      </w:r>
    </w:p>
    <w:p>
      <w:pPr>
        <w:spacing w:after="0" w:line="331" w:lineRule="exact"/>
        <w:rPr>
          <w:rFonts w:ascii="Times New Roman" w:cs="Times New Roman" w:eastAsia="Times New Roman" w:hAnsi="Times New Roman"/>
          <w:sz w:val="17"/>
          <w:szCs w:val="17"/>
          <w:b w:val="1"/>
          <w:bCs w:val="1"/>
          <w:color w:val="auto"/>
        </w:rPr>
      </w:pP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2025 Acquisitions</w:t>
      </w:r>
    </w:p>
    <w:p>
      <w:pPr>
        <w:spacing w:after="0" w:line="119" w:lineRule="exact"/>
        <w:rPr>
          <w:rFonts w:ascii="Times New Roman" w:cs="Times New Roman" w:eastAsia="Times New Roman" w:hAnsi="Times New Roman"/>
          <w:sz w:val="17"/>
          <w:szCs w:val="17"/>
          <w:b w:val="1"/>
          <w:bCs w:val="1"/>
          <w:color w:val="auto"/>
        </w:rPr>
      </w:pPr>
    </w:p>
    <w:p>
      <w:pPr>
        <w:jc w:val="both"/>
        <w:ind w:left="444" w:right="2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2025, the company completed various acquisitions that were not individually material. The preliminary allocation of cash consideration paid to assets acquired and liabilities assumed is based on the information that was available as of the acquisition date for the 2025 acquisitions and is summarized as follows:</w:t>
      </w:r>
    </w:p>
    <w:p>
      <w:pPr>
        <w:spacing w:after="0" w:line="184"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48"/>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Opening Balance</w:t>
            </w:r>
          </w:p>
        </w:tc>
        <w:tc>
          <w:tcPr>
            <w:tcW w:w="0" w:type="dxa"/>
            <w:vAlign w:val="bottom"/>
          </w:tcPr>
          <w:p>
            <w:pPr>
              <w:spacing w:after="0"/>
              <w:rPr>
                <w:sz w:val="1"/>
                <w:szCs w:val="1"/>
                <w:color w:val="auto"/>
              </w:rPr>
            </w:pPr>
          </w:p>
        </w:tc>
      </w:tr>
      <w:tr>
        <w:trPr>
          <w:trHeight w:val="173"/>
        </w:trPr>
        <w:tc>
          <w:tcPr>
            <w:tcW w:w="3760" w:type="dxa"/>
            <w:vAlign w:val="bottom"/>
            <w:vMerge w:val="continue"/>
          </w:tcPr>
          <w:p>
            <w:pPr>
              <w:spacing w:after="0"/>
              <w:rPr>
                <w:sz w:val="15"/>
                <w:szCs w:val="15"/>
                <w:color w:val="auto"/>
              </w:rPr>
            </w:pPr>
          </w:p>
        </w:tc>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41,596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(36,709)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365"/>
        </w:trPr>
        <w:tc>
          <w:tcPr>
            <w:tcW w:w="3760" w:type="dxa"/>
            <w:vAlign w:val="bottom"/>
          </w:tcPr>
          <w:p>
            <w:pPr>
              <w:spacing w:after="0"/>
              <w:rPr>
                <w:sz w:val="24"/>
                <w:szCs w:val="24"/>
                <w:color w:val="auto"/>
              </w:rPr>
            </w:pPr>
          </w:p>
        </w:tc>
        <w:tc>
          <w:tcPr>
            <w:tcW w:w="5320" w:type="dxa"/>
            <w:vAlign w:val="bottom"/>
            <w:gridSpan w:val="2"/>
          </w:tcPr>
          <w:p>
            <w:pPr>
              <w:jc w:val="right"/>
              <w:ind w:right="3759"/>
              <w:spacing w:after="0"/>
              <w:rPr>
                <w:sz w:val="20"/>
                <w:szCs w:val="20"/>
                <w:color w:val="auto"/>
              </w:rPr>
            </w:pPr>
            <w:r>
              <w:rPr>
                <w:rFonts w:ascii="Times New Roman" w:cs="Times New Roman" w:eastAsia="Times New Roman" w:hAnsi="Times New Roman"/>
                <w:sz w:val="18"/>
                <w:szCs w:val="18"/>
                <w:color w:val="auto"/>
              </w:rPr>
              <w:t>F-36</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195" w:name="page196"/>
    <w:bookmarkEnd w:id="1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6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Opening Balance</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2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(10,064)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Consideration paid at closing</w:t>
            </w:r>
          </w:p>
        </w:tc>
        <w:tc>
          <w:tcPr>
            <w:tcW w:w="27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acquired and liabilities assumed</w:t>
            </w:r>
          </w:p>
        </w:tc>
        <w:tc>
          <w:tcPr>
            <w:tcW w:w="288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38,215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goodwill recognized is attributable primarily to anticipated growth opportunities and synergies with existing businesses. The goodwill and $4.6 million of other intangibles associated with the trade names are subject to the non-amortization provisions of Accounting Standards Codification (“ASC”) 350. Other intangibles also include $2.6 million allocated to customer relationships, $1.1 million allocated to developed technology, and $2.0 million allocated to backlog, which are being amortized over periods of 7 years, 7 years, and 6 months, respectively. Of these assets, goodwill of $7.6 million and intangibles of $5.5 million are expected to be deductible for tax purposes.</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Two purchase agreements include earnout provisions providing for contingent payments due to the sellers for the achievement of certain targets. The earnouts are payable to the extent certain EBITDA targets are met with measurement dates ending in 2028. The contractual obligation associated with the contingent earnout provisions recognized on the acquisition date amounts to $4.7 million.</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believes that information gathered to date provides a reasonable basis for estimating the fair values of assets acquired and liabilities assumed, but the company is waiting for additional information necessary to finalize those fair values for the acquisitions completed during 2025. Certain intangible assets are preliminarily valued using historical information from the Food Processing Equipment Group and qualitative assessment of the businesses at the respective acquisition dates. Specifically, the company estimated the fair values of the intangible assets based on the percentage of purchase price assigned to similar intangible assets in previous acquisitions. Thus, the provisional measurements of fair values set forth above are subject to change. The company expects to complete the purchase price allocation as soon as practicable but no later than one year from the acquisition date.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following unaudited pro forma results of operations for the three months ended April 4, 2026 and March 29, 2025 assumes the 2025 acquisitions described above were completed on December 29, 2024 (first day of fiscal year</w:t>
      </w:r>
    </w:p>
    <w:p>
      <w:pPr>
        <w:spacing w:after="0" w:line="260" w:lineRule="auto"/>
        <w:rPr>
          <w:sz w:val="20"/>
          <w:szCs w:val="20"/>
          <w:color w:val="auto"/>
        </w:rPr>
      </w:pPr>
      <w:r>
        <w:rPr>
          <w:rFonts w:ascii="Times New Roman" w:cs="Times New Roman" w:eastAsia="Times New Roman" w:hAnsi="Times New Roman"/>
          <w:sz w:val="18"/>
          <w:szCs w:val="18"/>
          <w:color w:val="auto"/>
        </w:rPr>
        <w:t>2025). The following pro forma results include adjustments to reflect amortization of intangibles associated with the acquisitions and the effects of adjustments made to the carrying value of certain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60" w:type="dxa"/>
            <w:vAlign w:val="bottom"/>
          </w:tcPr>
          <w:p>
            <w:pPr>
              <w:spacing w:after="0"/>
              <w:rPr>
                <w:sz w:val="15"/>
                <w:szCs w:val="15"/>
                <w:color w:val="auto"/>
              </w:rPr>
            </w:pPr>
          </w:p>
        </w:tc>
        <w:tc>
          <w:tcPr>
            <w:tcW w:w="24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336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225,046</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176,978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8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15,176</w:t>
            </w:r>
          </w:p>
        </w:tc>
        <w:tc>
          <w:tcPr>
            <w:tcW w:w="2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Pro forma data may not be indicative of the results that would have been obtained had these acquisitions occurred at the beginning of the periods presented, nor is it intended to be a projection of future results. Additionally, the pro forma financial information does not reflect the costs which the company has incurred or may incur to integrate the acquired businesses.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0560"/>
          </w:cols>
          <w:pgMar w:left="880" w:top="251" w:right="459" w:bottom="1440" w:gutter="0" w:footer="0" w:header="0"/>
        </w:sectPr>
      </w:pPr>
    </w:p>
    <w:bookmarkStart w:id="196" w:name="page197"/>
    <w:bookmarkEnd w:id="196"/>
    <w:p>
      <w:pPr>
        <w:ind w:left="444" w:right="8300" w:hanging="444"/>
        <w:spacing w:after="0" w:line="377" w:lineRule="auto"/>
        <w:tabs>
          <w:tab w:leader="none" w:pos="436"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REVENUE RECOGNITION </w:t>
      </w:r>
      <w:r>
        <w:rPr>
          <w:rFonts w:ascii="Times New Roman" w:cs="Times New Roman" w:eastAsia="Times New Roman" w:hAnsi="Times New Roman"/>
          <w:sz w:val="18"/>
          <w:szCs w:val="18"/>
          <w:i w:val="1"/>
          <w:iCs w:val="1"/>
          <w:color w:val="auto"/>
        </w:rPr>
        <w:t>Disaggregation of Revenue</w:t>
      </w:r>
    </w:p>
    <w:p>
      <w:pPr>
        <w:spacing w:after="0" w:line="1"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disaggregate our net sales by geographical location and revenue streams as we believe it best depicts how the nature, timing and uncertainty of our net sales and cash flows are affected by economic factors. The following table summarizes our net sales by geographical location, which are classified based on the customer’s location, and revenue streams:</w:t>
      </w:r>
    </w:p>
    <w:p>
      <w:pPr>
        <w:spacing w:after="0" w:line="19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115,350</w:t>
            </w:r>
          </w:p>
        </w:tc>
        <w:tc>
          <w:tcPr>
            <w:tcW w:w="66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72,097</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54,965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26,657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16,351</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10,942</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225,046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168,500</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Equipment and Installation</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120,145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Aftermarket Parts and Service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104,901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79,707</w:t>
            </w:r>
          </w:p>
        </w:tc>
        <w:tc>
          <w:tcPr>
            <w:tcW w:w="0" w:type="dxa"/>
            <w:vAlign w:val="bottom"/>
          </w:tcPr>
          <w:p>
            <w:pPr>
              <w:spacing w:after="0"/>
              <w:rPr>
                <w:sz w:val="1"/>
                <w:szCs w:val="1"/>
                <w:color w:val="auto"/>
              </w:rPr>
            </w:pP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225,046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119" w:lineRule="exact"/>
        <w:rPr>
          <w:sz w:val="20"/>
          <w:szCs w:val="20"/>
          <w:color w:val="auto"/>
        </w:rPr>
      </w:pPr>
    </w:p>
    <w:p>
      <w:pPr>
        <w:ind w:left="444" w:right="100"/>
        <w:spacing w:after="0" w:line="255" w:lineRule="auto"/>
        <w:rPr>
          <w:sz w:val="20"/>
          <w:szCs w:val="20"/>
          <w:color w:val="auto"/>
        </w:rPr>
      </w:pPr>
      <w:r>
        <w:rPr>
          <w:rFonts w:ascii="Times New Roman" w:cs="Times New Roman" w:eastAsia="Times New Roman" w:hAnsi="Times New Roman"/>
          <w:sz w:val="18"/>
          <w:szCs w:val="18"/>
          <w:color w:val="auto"/>
        </w:rPr>
        <w:t>Accounting for long-term contracts involves the use of various techniques to estimate total contract revenue and costs. For the company’s long-term contracts that qualify for over time revenue recognition, estimated profit for the equipment performance obligations is recognized as the equipment is manufactured and assembled. Profit on the equipment performance obligations is estimated as the difference between the total estimated revenue and expected costs to complete a contract. Contract cost estimates are based on anticipated labor and materials, and the performance of subcontractors. The company does not disclose information about remaining performance obligations that have original expected durations of one year or less. The company has not recognized material favorable or unfavorable changes in estimates related to long-term contracts with customers in the three months ended April 4, 2026 or March 29, 2025.</w:t>
      </w:r>
    </w:p>
    <w:p>
      <w:pPr>
        <w:spacing w:after="0" w:line="29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left="444" w:right="300"/>
        <w:spacing w:after="0" w:line="256" w:lineRule="auto"/>
        <w:rPr>
          <w:sz w:val="20"/>
          <w:szCs w:val="20"/>
          <w:color w:val="auto"/>
        </w:rPr>
      </w:pPr>
      <w:r>
        <w:rPr>
          <w:rFonts w:ascii="Times New Roman" w:cs="Times New Roman" w:eastAsia="Times New Roman" w:hAnsi="Times New Roman"/>
          <w:sz w:val="18"/>
          <w:szCs w:val="18"/>
          <w:color w:val="auto"/>
        </w:rPr>
        <w:t>Payments on equipment contracts are typically due based on contractually stated milestones. Contract assets primarily relate to the company’s right to consideration for work completed but not billed at the reporting date and are recorded in prepaid expenses and other in the Condensed Combined Balance Sheets. Contract assets are transferred to receivables when the right to consideration becomes unconditional. Changes in contract assets and contract liabilities associated with the timing of payments and status of over time revenue contracts are recorded in prepaid expenses and other assets and accrued expenses and other liabilities, respectively, within operating activities in the Condensed Combined Statements of Cash Flows.</w:t>
      </w:r>
    </w:p>
    <w:p>
      <w:pPr>
        <w:spacing w:after="0" w:line="79" w:lineRule="exact"/>
        <w:rPr>
          <w:sz w:val="20"/>
          <w:szCs w:val="20"/>
          <w:color w:val="auto"/>
        </w:rPr>
      </w:pPr>
    </w:p>
    <w:p>
      <w:pPr>
        <w:ind w:left="444"/>
        <w:spacing w:after="0" w:line="261" w:lineRule="auto"/>
        <w:rPr>
          <w:sz w:val="20"/>
          <w:szCs w:val="20"/>
          <w:color w:val="auto"/>
        </w:rPr>
      </w:pPr>
      <w:r>
        <w:rPr>
          <w:rFonts w:ascii="Times New Roman" w:cs="Times New Roman" w:eastAsia="Times New Roman" w:hAnsi="Times New Roman"/>
          <w:sz w:val="18"/>
          <w:szCs w:val="18"/>
          <w:color w:val="auto"/>
        </w:rPr>
        <w:t>Contract liabilities relate to advance consideration received from customers for which revenue has not been recognized. Current contract liabilities are recorded in accrued expenses in the Condensed Combined Balance Sheets. Non-current contract liabilities are recorded in other non-current liabilities in the Condensed Combined Balance Sheets. Contract liabilities are reduced when the associated revenue from the contract is recognized.</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3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360" w:type="dxa"/>
            <w:vAlign w:val="bottom"/>
          </w:tcPr>
          <w:p>
            <w:pPr>
              <w:spacing w:after="0"/>
              <w:rPr>
                <w:sz w:val="15"/>
                <w:szCs w:val="15"/>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 2026</w:t>
            </w: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39,843</w:t>
            </w:r>
          </w:p>
        </w:tc>
        <w:tc>
          <w:tcPr>
            <w:tcW w:w="8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55,991</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9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139,028</w:t>
            </w:r>
          </w:p>
        </w:tc>
        <w:tc>
          <w:tcPr>
            <w:tcW w:w="2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131,144</w:t>
            </w:r>
          </w:p>
        </w:tc>
      </w:tr>
      <w:tr>
        <w:trPr>
          <w:trHeight w:val="346"/>
        </w:trPr>
        <w:tc>
          <w:tcPr>
            <w:tcW w:w="3120" w:type="dxa"/>
            <w:vAlign w:val="bottom"/>
          </w:tcPr>
          <w:p>
            <w:pPr>
              <w:spacing w:after="0"/>
              <w:rPr>
                <w:sz w:val="24"/>
                <w:szCs w:val="24"/>
                <w:color w:val="auto"/>
              </w:rPr>
            </w:pPr>
          </w:p>
        </w:tc>
        <w:tc>
          <w:tcPr>
            <w:tcW w:w="5960" w:type="dxa"/>
            <w:vAlign w:val="bottom"/>
            <w:gridSpan w:val="3"/>
          </w:tcPr>
          <w:p>
            <w:pPr>
              <w:ind w:left="1780"/>
              <w:spacing w:after="0"/>
              <w:rPr>
                <w:sz w:val="20"/>
                <w:szCs w:val="20"/>
                <w:color w:val="auto"/>
              </w:rPr>
            </w:pPr>
            <w:r>
              <w:rPr>
                <w:rFonts w:ascii="Times New Roman" w:cs="Times New Roman" w:eastAsia="Times New Roman" w:hAnsi="Times New Roman"/>
                <w:sz w:val="18"/>
                <w:szCs w:val="18"/>
                <w:color w:val="auto"/>
              </w:rPr>
              <w:t>F-38</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84"/>
          </w:cols>
          <w:pgMar w:left="436" w:top="266" w:right="479" w:bottom="1440" w:gutter="0" w:footer="0" w:header="0"/>
        </w:sectPr>
      </w:pPr>
    </w:p>
    <w:bookmarkStart w:id="197" w:name="page198"/>
    <w:bookmarkEnd w:id="197"/>
    <w:p>
      <w:pPr>
        <w:ind w:left="44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the three months ended April 4, 2026, the company reclassified $13.5 million to accounts receivable, which was included in the contract asset balance at the beginning of the period. During the three months ended April 4, 2026, the company recognized revenue of $34.0 million, which was included in the contract liability balance at the beginning of the period. Additions to contract liabilities representing amounts billed to clients in excess of revenue recognized were $48.2 million during the three months ended April 4, 2026. Substantially all of the company’s outstanding performance obligations will be satisfied within 12 to 36 months. There were no contract asset impairments during the periods presented.</w:t>
      </w:r>
    </w:p>
    <w:p>
      <w:pPr>
        <w:spacing w:after="0" w:line="332" w:lineRule="exact"/>
        <w:rPr>
          <w:sz w:val="20"/>
          <w:szCs w:val="20"/>
          <w:color w:val="auto"/>
        </w:rPr>
      </w:pPr>
    </w:p>
    <w:p>
      <w:pPr>
        <w:ind w:left="424" w:hanging="424"/>
        <w:spacing w:after="0"/>
        <w:tabs>
          <w:tab w:leader="none" w:pos="42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133" w:lineRule="exact"/>
        <w:rPr>
          <w:sz w:val="20"/>
          <w:szCs w:val="20"/>
          <w:color w:val="auto"/>
        </w:rPr>
      </w:pPr>
    </w:p>
    <w:p>
      <w:pPr>
        <w:ind w:left="964" w:hanging="532"/>
        <w:spacing w:after="0"/>
        <w:tabs>
          <w:tab w:leader="none" w:pos="964" w:val="left"/>
        </w:tabs>
        <w:numPr>
          <w:ilvl w:val="0"/>
          <w:numId w:val="1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Inventories are as follows:</w:t>
      </w:r>
    </w:p>
    <w:p>
      <w:pPr>
        <w:spacing w:after="0" w:line="246" w:lineRule="exact"/>
        <w:rPr>
          <w:sz w:val="20"/>
          <w:szCs w:val="20"/>
          <w:color w:val="auto"/>
        </w:rPr>
      </w:pPr>
    </w:p>
    <w:tbl>
      <w:tblPr>
        <w:tblLayout w:type="fixed"/>
        <w:tblInd w:w="424" w:type="dxa"/>
        <w:tblCellMar>
          <w:top w:w="0" w:type="dxa"/>
          <w:left w:w="0" w:type="dxa"/>
          <w:bottom w:w="0" w:type="dxa"/>
          <w:right w:w="0" w:type="dxa"/>
        </w:tblCellMar>
      </w:tblPr>
      <w:tr>
        <w:trPr>
          <w:trHeight w:val="17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parts</w:t>
            </w: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107,506</w:t>
            </w: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66,181</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56,585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34,500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Inventories, net</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208,187</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193,571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(b)</w:t>
            </w:r>
          </w:p>
        </w:tc>
        <w:tc>
          <w:tcPr>
            <w:tcW w:w="40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gridSpan w:val="2"/>
            <w:vMerge w:val="continue"/>
          </w:tcPr>
          <w:p>
            <w:pPr>
              <w:spacing w:after="0"/>
              <w:rPr>
                <w:sz w:val="24"/>
                <w:szCs w:val="24"/>
                <w:color w:val="auto"/>
              </w:rPr>
            </w:pPr>
          </w:p>
        </w:tc>
        <w:tc>
          <w:tcPr>
            <w:tcW w:w="40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 changes in the net carrying amount of goodwill are as follows: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28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502,317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4, 2026</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498,701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w:t>
            </w:r>
          </w:p>
        </w:tc>
        <w:tc>
          <w:tcPr>
            <w:tcW w:w="40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Other Intangibles</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gridSpan w:val="2"/>
            <w:vMerge w:val="continue"/>
          </w:tcPr>
          <w:p>
            <w:pPr>
              <w:spacing w:after="0"/>
              <w:rPr>
                <w:sz w:val="24"/>
                <w:szCs w:val="24"/>
                <w:color w:val="auto"/>
              </w:rPr>
            </w:pPr>
          </w:p>
        </w:tc>
        <w:tc>
          <w:tcPr>
            <w:tcW w:w="40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intangibles, net consist of the following:</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6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94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60" w:type="dxa"/>
            <w:vAlign w:val="bottom"/>
          </w:tcPr>
          <w:p>
            <w:pPr>
              <w:spacing w:after="0"/>
              <w:rPr>
                <w:sz w:val="10"/>
                <w:szCs w:val="10"/>
                <w:color w:val="auto"/>
              </w:rPr>
            </w:pPr>
          </w:p>
        </w:tc>
        <w:tc>
          <w:tcPr>
            <w:tcW w:w="540" w:type="dxa"/>
            <w:vAlign w:val="bottom"/>
            <w:gridSpan w:val="2"/>
          </w:tcPr>
          <w:p>
            <w:pPr>
              <w:jc w:val="center"/>
              <w:ind w:lef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40" w:type="dxa"/>
            <w:vAlign w:val="bottom"/>
            <w:gridSpan w:val="3"/>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00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300" w:type="dxa"/>
            <w:vAlign w:val="bottom"/>
            <w:gridSpan w:val="3"/>
            <w:vMerge w:val="continue"/>
          </w:tcPr>
          <w:p>
            <w:pPr>
              <w:spacing w:after="0"/>
              <w:rPr>
                <w:sz w:val="15"/>
                <w:szCs w:val="15"/>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Amortized intangible assets:</w:t>
            </w: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$105,790</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(81,807)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$ 23,983</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$106,529</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(80,550)</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$ 25,979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Developed technology</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(12,045)</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13,058</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(11,629)</w:t>
            </w: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Backlog</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3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(3,069)</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(93,852)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37,041</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135,276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(95,248)</w:t>
            </w: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Indefinite-lived assets: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131,978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131,978</w:t>
            </w: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133,228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intangibles, net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262,871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169,019</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268,504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(95,248</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gridSpan w:val="2"/>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173,256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2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F-39</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4"/>
          </w:cols>
          <w:pgMar w:left="436" w:top="270" w:right="599" w:bottom="1440" w:gutter="0" w:footer="0" w:header="0"/>
        </w:sectPr>
      </w:pPr>
    </w:p>
    <w:bookmarkStart w:id="198" w:name="page199"/>
    <w:bookmarkEnd w:id="198"/>
    <w:p>
      <w:pPr>
        <w:ind w:left="20"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intangible amortization expense was $2.7 million and $2.9 million for the three months ended April 4, 2026 and March 29, 2025, respectively. The estimated future amortization expense of intangible assets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2027</w:t>
            </w:r>
          </w:p>
        </w:tc>
        <w:tc>
          <w:tcPr>
            <w:tcW w:w="5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2028</w:t>
            </w:r>
          </w:p>
        </w:tc>
        <w:tc>
          <w:tcPr>
            <w:tcW w:w="5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2029</w:t>
            </w:r>
          </w:p>
        </w:tc>
        <w:tc>
          <w:tcPr>
            <w:tcW w:w="5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2030</w:t>
            </w:r>
          </w:p>
        </w:tc>
        <w:tc>
          <w:tcPr>
            <w:tcW w:w="5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37,041</w:t>
            </w:r>
          </w:p>
        </w:tc>
        <w:tc>
          <w:tcPr>
            <w:tcW w:w="0" w:type="dxa"/>
            <w:vAlign w:val="bottom"/>
          </w:tcPr>
          <w:p>
            <w:pPr>
              <w:spacing w:after="0"/>
              <w:rPr>
                <w:sz w:val="1"/>
                <w:szCs w:val="1"/>
                <w:color w:val="auto"/>
              </w:rPr>
            </w:pPr>
          </w:p>
        </w:tc>
      </w:tr>
      <w:tr>
        <w:trPr>
          <w:trHeight w:val="20"/>
        </w:trPr>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w:t>
            </w:r>
          </w:p>
        </w:tc>
        <w:tc>
          <w:tcPr>
            <w:tcW w:w="5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80" w:type="dxa"/>
            <w:vAlign w:val="bottom"/>
            <w:gridSpan w:val="2"/>
            <w:vMerge w:val="continue"/>
          </w:tcPr>
          <w:p>
            <w:pPr>
              <w:spacing w:after="0"/>
              <w:rPr>
                <w:sz w:val="24"/>
                <w:szCs w:val="24"/>
                <w:color w:val="auto"/>
              </w:rPr>
            </w:pPr>
          </w:p>
        </w:tc>
        <w:tc>
          <w:tcPr>
            <w:tcW w:w="536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2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 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139,028</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38,102</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9,907</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agent commission</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5,059</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4,931</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contingent consideration</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4,230</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4,048</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sales and other tax</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3,217</w:t>
            </w:r>
          </w:p>
        </w:tc>
        <w:tc>
          <w:tcPr>
            <w:tcW w:w="2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product liability and workers compensation</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11,332</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8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220,934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 Warranty Costs</w:t>
      </w:r>
    </w:p>
    <w:p>
      <w:pPr>
        <w:spacing w:after="0" w:line="119"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issues product warranties for specific product lines and provides for the estimated future warranty cost in the period in which the sale is recorded. The estimate of warranty cost is based on contract terms and historical warranty loss experience that is periodically adjusted for recent actual experience. Because warranty estimates are forecasts that are based on the best available information, claims costs may differ from amounts provided. Adjustments to initial obligations for warranties are made as changes in the obligations become reasonably estimable.</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rollforward of the warranty reserve is as follows: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8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220" w:type="dxa"/>
            <w:vAlign w:val="bottom"/>
            <w:gridSpan w:val="2"/>
            <w:vMerge w:val="continue"/>
          </w:tcPr>
          <w:p>
            <w:pPr>
              <w:spacing w:after="0"/>
              <w:rPr>
                <w:sz w:val="15"/>
                <w:szCs w:val="15"/>
                <w:color w:val="auto"/>
              </w:rPr>
            </w:pPr>
          </w:p>
        </w:tc>
        <w:tc>
          <w:tcPr>
            <w:tcW w:w="5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5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claims paid</w:t>
            </w:r>
          </w:p>
        </w:tc>
        <w:tc>
          <w:tcPr>
            <w:tcW w:w="5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Exchange effect</w:t>
            </w:r>
          </w:p>
        </w:tc>
        <w:tc>
          <w:tcPr>
            <w:tcW w:w="5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4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6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F-40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860" w:top="270" w:right="479" w:bottom="1440" w:gutter="0" w:footer="0" w:header="0"/>
        </w:sectPr>
      </w:pPr>
    </w:p>
    <w:bookmarkStart w:id="199" w:name="page200"/>
    <w:bookmarkEnd w:id="199"/>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w:t>
        <w:tab/>
        <w:t>DEBT</w:t>
      </w:r>
    </w:p>
    <w:p>
      <w:pPr>
        <w:spacing w:after="0" w:line="250"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 2026</w:t>
            </w:r>
          </w:p>
        </w:tc>
      </w:tr>
      <w:tr>
        <w:trPr>
          <w:trHeight w:val="209"/>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loans</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8,176</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8,529</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w:t>
            </w: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33,487</w:t>
            </w:r>
          </w:p>
        </w:tc>
        <w:tc>
          <w:tcPr>
            <w:tcW w:w="100" w:type="dxa"/>
            <w:vAlign w:val="bottom"/>
          </w:tcPr>
          <w:p>
            <w:pPr>
              <w:spacing w:after="0"/>
              <w:rPr>
                <w:sz w:val="19"/>
                <w:szCs w:val="19"/>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4,482</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4,765</w:t>
            </w:r>
          </w:p>
        </w:tc>
      </w:tr>
      <w:tr>
        <w:trPr>
          <w:trHeight w:val="223"/>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27,547</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10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20"/>
        <w:spacing w:after="0" w:line="258" w:lineRule="auto"/>
        <w:rPr>
          <w:sz w:val="20"/>
          <w:szCs w:val="20"/>
          <w:color w:val="auto"/>
        </w:rPr>
      </w:pPr>
      <w:r>
        <w:rPr>
          <w:rFonts w:ascii="Times New Roman" w:cs="Times New Roman" w:eastAsia="Times New Roman" w:hAnsi="Times New Roman"/>
          <w:sz w:val="18"/>
          <w:szCs w:val="18"/>
          <w:color w:val="auto"/>
        </w:rPr>
        <w:t>On October 23, 2025, a foreign subsidiary of the company entered into a term loan with an initial principal amount of €20.0 million (“Foreign Term Loan”). The Foreign Term Loan, which matures on September 30, 2035, will be repaid in equal quarterly installments beginning in the first quarter of 2026. Interest is payable quarterly in arrears based on a three-month Euro interbank offered rate plus 0.83%. At April 4, 2026, the weighted average per annum interest rate for foreign loans was approximately 2.73%. The carrying value of foreign loans approximates fair value. As of April 4, 2026, the company’s foreign subsidiaries were in compliance with all debt covenants, none of which are material to FPG.</w:t>
      </w:r>
    </w:p>
    <w:p>
      <w:pPr>
        <w:spacing w:after="0" w:line="328" w:lineRule="exact"/>
        <w:rPr>
          <w:sz w:val="20"/>
          <w:szCs w:val="20"/>
          <w:color w:val="auto"/>
        </w:rPr>
      </w:pPr>
    </w:p>
    <w:p>
      <w:pPr>
        <w:ind w:left="424" w:hanging="424"/>
        <w:spacing w:after="0"/>
        <w:tabs>
          <w:tab w:leader="none" w:pos="42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NON-CASH SHARE-BASED COMPENSATION</w:t>
      </w:r>
    </w:p>
    <w:p>
      <w:pPr>
        <w:spacing w:after="0" w:line="121" w:lineRule="exact"/>
        <w:rPr>
          <w:rFonts w:ascii="Times New Roman" w:cs="Times New Roman" w:eastAsia="Times New Roman" w:hAnsi="Times New Roman"/>
          <w:sz w:val="18"/>
          <w:szCs w:val="18"/>
          <w:b w:val="1"/>
          <w:bCs w:val="1"/>
          <w:color w:val="auto"/>
        </w:rPr>
      </w:pPr>
    </w:p>
    <w:p>
      <w:pPr>
        <w:ind w:left="44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Middleby maintains an incentive plan under which share-based awards are granted to key employees. Certain FPG employees participate in Middleby’s equity-based incentive plans. Non-cash share-based compensation costs have been specifically identified for employees who exclusively support FPG operations and include expenses allocated to FPG for corporate or shared employees primarily based on net sales as part of the cost allocations from Middleby. The company includes the related expenses as Selling, general and administrative expense within the Condensed Combined Statements of Earnings. Expenses related to FPG employee participation in Middleby’s incentive plan were $1.1 million and $0.2 million for the three months ended April 4, 2026 and March 29, 2025, respectively. Additionally, expenses allocated to FPG for corporate or shared employees was primarily based on net sales and totaled $1.4 million and $0.2 million for the three months ended April 4, 2026 and March 29, 2025, respectively. The total non-cash share-based compensation expense recognized in the Condensed Combined Statements of Earnings was $2.5 million and $0.4 million for the three months ended April 4, 2026 and March 29, 2025, respectively. The company recorded a related tax expense of $0.1 million and tax benefit of less than $0.1 million for the three months ended April 4, 2026 and March 29, 2025, respectively.</w:t>
      </w:r>
    </w:p>
    <w:p>
      <w:pPr>
        <w:spacing w:after="0" w:line="33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rFonts w:ascii="Times New Roman" w:cs="Times New Roman" w:eastAsia="Times New Roman" w:hAnsi="Times New Roman"/>
          <w:sz w:val="18"/>
          <w:szCs w:val="18"/>
          <w:b w:val="1"/>
          <w:bCs w:val="1"/>
          <w:color w:val="auto"/>
        </w:rPr>
      </w:pPr>
    </w:p>
    <w:p>
      <w:pPr>
        <w:ind w:left="444"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only component of accumulated other comprehensive loss, foreign currency translation adjustments, amounted to $(33.3) million and $(27.5) million as of April 4, 2026 and January 3, 2026, respectively.</w:t>
      </w:r>
    </w:p>
    <w:p>
      <w:pPr>
        <w:spacing w:after="0" w:line="53"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accumulated other comprehensive loss were as follows: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0" w:type="dxa"/>
            <w:vAlign w:val="bottom"/>
          </w:tcPr>
          <w:p>
            <w:pPr>
              <w:spacing w:after="0"/>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446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 2026</w:t>
            </w:r>
          </w:p>
        </w:tc>
        <w:tc>
          <w:tcPr>
            <w:tcW w:w="4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(27,514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w:t>
            </w:r>
          </w:p>
        </w:tc>
        <w:tc>
          <w:tcPr>
            <w:tcW w:w="4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4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4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April 4, 2026</w:t>
            </w:r>
          </w:p>
        </w:tc>
        <w:tc>
          <w:tcPr>
            <w:tcW w:w="4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F-41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66" w:right="459" w:bottom="1440" w:gutter="0" w:footer="0" w:header="0"/>
        </w:sectPr>
      </w:pPr>
    </w:p>
    <w:bookmarkStart w:id="200" w:name="page201"/>
    <w:bookmarkEnd w:id="20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0" w:type="dxa"/>
            <w:vAlign w:val="bottom"/>
          </w:tcPr>
          <w:p>
            <w:pPr>
              <w:spacing w:after="0"/>
              <w:rPr>
                <w:sz w:val="1"/>
                <w:szCs w:val="1"/>
                <w:color w:val="auto"/>
              </w:rPr>
            </w:pPr>
          </w:p>
        </w:tc>
      </w:tr>
      <w:tr>
        <w:trPr>
          <w:trHeight w:val="148"/>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0" w:type="dxa"/>
            <w:vAlign w:val="bottom"/>
          </w:tcPr>
          <w:p>
            <w:pPr>
              <w:spacing w:after="0"/>
              <w:rPr>
                <w:sz w:val="1"/>
                <w:szCs w:val="1"/>
                <w:color w:val="auto"/>
              </w:rPr>
            </w:pPr>
          </w:p>
        </w:tc>
      </w:tr>
      <w:tr>
        <w:trPr>
          <w:trHeight w:val="173"/>
        </w:trPr>
        <w:tc>
          <w:tcPr>
            <w:tcW w:w="7020" w:type="dxa"/>
            <w:vAlign w:val="bottom"/>
            <w:gridSpan w:val="2"/>
            <w:vMerge w:val="continue"/>
          </w:tcPr>
          <w:p>
            <w:pPr>
              <w:spacing w:after="0"/>
              <w:rPr>
                <w:sz w:val="15"/>
                <w:szCs w:val="15"/>
                <w:color w:val="auto"/>
              </w:rPr>
            </w:pPr>
          </w:p>
        </w:tc>
        <w:tc>
          <w:tcPr>
            <w:tcW w:w="226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2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w:t>
            </w: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29, 2025</w:t>
            </w:r>
          </w:p>
        </w:tc>
        <w:tc>
          <w:tcPr>
            <w:tcW w:w="2400" w:type="dxa"/>
            <w:vAlign w:val="bottom"/>
            <w:gridSpan w:val="2"/>
            <w:shd w:val="clear" w:color="auto" w:fill="CCEEFF"/>
          </w:tcPr>
          <w:p>
            <w:pPr>
              <w:ind w:left="22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44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tax provision of $4.7 million, at an effective tax rate of 24.7%, was recorded during the three months ended April 4, 2026, as compared to a tax provision of $4.2 million at an effective tax rate of 25.4% in the prior year period. During the three months ended April 4, 2026, the effective tax rate was lower than the prior period due to the recognition of discrete tax items. The effective tax rates for the three months ended April 4, 2026 and March 29, 2025 were higher than the U.S. statutory federal tax rate of 21.0% primarily due to non-deductible expenses, state taxes and foreign tax rate differentials.</w:t>
      </w:r>
    </w:p>
    <w:p>
      <w:pPr>
        <w:spacing w:after="0" w:line="327"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rFonts w:ascii="Times New Roman" w:cs="Times New Roman" w:eastAsia="Times New Roman" w:hAnsi="Times New Roman"/>
          <w:sz w:val="18"/>
          <w:szCs w:val="18"/>
          <w:b w:val="1"/>
          <w:bCs w:val="1"/>
          <w:color w:val="auto"/>
        </w:rPr>
      </w:pPr>
    </w:p>
    <w:p>
      <w:pPr>
        <w:ind w:left="444" w:right="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defines fair value as the price that would be received for an asset or paid to transfer a liability (an exit price) in the principal most advantageous market for the asset or liability in an orderly transaction between market participants on the measurement date. ASC 820 establishes a fair value hierarchy, which prioritizes the inputs used in measuring fair value into the following levels:</w:t>
      </w:r>
    </w:p>
    <w:p>
      <w:pPr>
        <w:spacing w:after="0" w:line="6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which are observable either directly or indirectly</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Level 3 – Unobservable inputs based on our own assumptions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company’s financial liabilities that are measured at fair value and are categorized using the fair value hierarchy are as follows: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642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As of April 4, 2026</w:t>
            </w:r>
          </w:p>
        </w:tc>
        <w:tc>
          <w:tcPr>
            <w:tcW w:w="49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8,365</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 of January 3, 2026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16,460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16,460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4" w:right="540"/>
        <w:spacing w:after="0" w:line="282" w:lineRule="auto"/>
        <w:rPr>
          <w:sz w:val="20"/>
          <w:szCs w:val="20"/>
          <w:color w:val="auto"/>
        </w:rPr>
      </w:pPr>
      <w:r>
        <w:rPr>
          <w:rFonts w:ascii="Times New Roman" w:cs="Times New Roman" w:eastAsia="Times New Roman" w:hAnsi="Times New Roman"/>
          <w:sz w:val="18"/>
          <w:szCs w:val="18"/>
          <w:color w:val="auto"/>
        </w:rPr>
        <w:t>The contingent consideration as of April 4, 2026 and January 3, 2026 relates to the earnout provisions recorded in conjunction with various purchase agreements.</w:t>
      </w:r>
    </w:p>
    <w:p>
      <w:pPr>
        <w:spacing w:after="0" w:line="54" w:lineRule="exact"/>
        <w:rPr>
          <w:sz w:val="20"/>
          <w:szCs w:val="20"/>
          <w:color w:val="auto"/>
        </w:rPr>
      </w:pPr>
    </w:p>
    <w:p>
      <w:pPr>
        <w:ind w:left="444" w:right="80"/>
        <w:spacing w:after="0" w:line="256" w:lineRule="auto"/>
        <w:rPr>
          <w:sz w:val="20"/>
          <w:szCs w:val="20"/>
          <w:color w:val="auto"/>
        </w:rPr>
      </w:pPr>
      <w:r>
        <w:rPr>
          <w:rFonts w:ascii="Times New Roman" w:cs="Times New Roman" w:eastAsia="Times New Roman" w:hAnsi="Times New Roman"/>
          <w:sz w:val="18"/>
          <w:szCs w:val="18"/>
          <w:color w:val="auto"/>
        </w:rPr>
        <w:t>The earnout provisions associated with these acquisitions are based upon performance measurements related to sales and EBITDA, as defined in the respective purchase agreements. On a quarterly basis, the company assesses the projected results for each of the acquisitions in comparison to the earnout targets and adjusts the liability accordingly. Discount rates for valuing contingent consideration are determined based on the company rates and specific acquisition risk considerations. Changes to the fair value of the contingent consideration liabilities can result from changes to one or a number of inputs, including discount rates, the probabilities of achieving the earnout targets, the time required to achieve the targets and estimated future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04"/>
          </w:cols>
          <w:pgMar w:left="436" w:top="251" w:right="459" w:bottom="1440" w:gutter="0" w:footer="0" w:header="0"/>
        </w:sectPr>
      </w:pPr>
    </w:p>
    <w:bookmarkStart w:id="201" w:name="page202"/>
    <w:bookmarkEnd w:id="201"/>
    <w:p>
      <w:pPr>
        <w:ind w:left="44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sales and EBITDA. Judgment is employed in determining the appropriateness of certain of these inputs. Changes to the inputs described above could have a material impact on the company’s financial position and results of operations in any given period. Changes in fair value associated with the earnout provisions are recognized in Selling, general and administrative expenses within the Condensed Combined Statements of Earnings. The contingent consideration liabilities are included in accrued expenses and other non-current liabilities. Contingent consideration payments of amounts up to the initial acquisition date fair value are classified as cash outflows from financing activities and payments of amounts in excess of the initial acquisition date fair value are classified as cash outflows from operating activities in the Condensed Combined Statements of Cash Flows.</w:t>
      </w:r>
    </w:p>
    <w:p>
      <w:pPr>
        <w:spacing w:after="0" w:line="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represents changes in the fair value of the contingent consideration liabilities: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0" w:type="dxa"/>
            <w:vAlign w:val="bottom"/>
          </w:tcPr>
          <w:p>
            <w:pPr>
              <w:spacing w:after="0"/>
              <w:rPr>
                <w:sz w:val="1"/>
                <w:szCs w:val="1"/>
                <w:color w:val="auto"/>
              </w:rPr>
            </w:pPr>
          </w:p>
        </w:tc>
      </w:tr>
      <w:tr>
        <w:trPr>
          <w:trHeight w:val="209"/>
        </w:trPr>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1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(8,161)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and exchange effect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rFonts w:ascii="Times New Roman" w:cs="Times New Roman" w:eastAsia="Times New Roman" w:hAnsi="Times New Roman"/>
          <w:sz w:val="18"/>
          <w:szCs w:val="18"/>
          <w:b w:val="1"/>
          <w:bCs w:val="1"/>
          <w:color w:val="auto"/>
        </w:rPr>
      </w:pPr>
    </w:p>
    <w:p>
      <w:pPr>
        <w:ind w:left="444"/>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is subject to proceedings, lawsuits and other claims related to products, suppliers, employees, customers and competitors. The company maintains insurance to partially cover product liability, workers compensation, property and casualty, and general liability matters. The company is required to assess the likelihood of any adverse judgments or outcomes to these matters as well as potential ranges of probable losses. A determination of the amount of accrual required, if any, for these contingencies is made after assessment of each matter and the related insurance coverage. The required accrual may change in the future due to new developments or changes in approach such as a change in settlement strategy in dealing with these matters. The company does not believe that any such matter will have a material adverse effect on its financial condition, results of operations or cash flows.</w:t>
      </w:r>
    </w:p>
    <w:p>
      <w:pPr>
        <w:spacing w:after="0" w:line="33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rFonts w:ascii="Times New Roman" w:cs="Times New Roman" w:eastAsia="Times New Roman" w:hAnsi="Times New Roman"/>
          <w:sz w:val="18"/>
          <w:szCs w:val="18"/>
          <w:b w:val="1"/>
          <w:bCs w:val="1"/>
          <w:color w:val="auto"/>
        </w:rPr>
      </w:pPr>
    </w:p>
    <w:p>
      <w:pPr>
        <w:ind w:left="444"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one operating and reportable segment which reflects the manner in which the company’s Chief Operating Decision Maker (the “CODM”), the Middleby Chief Executive Officer, reviews and assesses the performance of the business and allocates resources. The company determined that the Chief Executive Officer of Middleby is the CODM who possesses the ultimate authority with respect to assessment of performance, allocation of resources, and all strategic actions of the company. In performing this responsibility, the CODM regularly reviews key internal management reports, financial information, and quarterly results.</w:t>
      </w:r>
    </w:p>
    <w:p>
      <w:pPr>
        <w:spacing w:after="0" w:line="73" w:lineRule="exact"/>
        <w:rPr>
          <w:rFonts w:ascii="Times New Roman" w:cs="Times New Roman" w:eastAsia="Times New Roman" w:hAnsi="Times New Roman"/>
          <w:sz w:val="18"/>
          <w:szCs w:val="18"/>
          <w:b w:val="1"/>
          <w:bCs w:val="1"/>
          <w:color w:val="auto"/>
        </w:rPr>
      </w:pPr>
    </w:p>
    <w:p>
      <w:pPr>
        <w:ind w:left="444" w:right="2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accordance with ASC 280-10,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FPG is reported as a single operating segment, encompassing all business activities and financial reporting for the company. The CODM does not evaluate the performance of the company or allocate resources at any level below the combined level or based on the company’s assets or liabilities.</w:t>
      </w:r>
    </w:p>
    <w:p>
      <w:pPr>
        <w:spacing w:after="0" w:line="67" w:lineRule="exact"/>
        <w:rPr>
          <w:rFonts w:ascii="Times New Roman" w:cs="Times New Roman" w:eastAsia="Times New Roman" w:hAnsi="Times New Roman"/>
          <w:sz w:val="18"/>
          <w:szCs w:val="18"/>
          <w:b w:val="1"/>
          <w:bCs w:val="1"/>
          <w:color w:val="auto"/>
        </w:rPr>
      </w:pPr>
    </w:p>
    <w:p>
      <w:pPr>
        <w:ind w:left="444"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is the profitability metric reported to the CODM for purposes of making decisions about allocation of resources and assessing performance. The company defines Adjusted EBITDA as net earnings before interest, income taxes, depreciation, and intangible amortization, or EBITDA, less restructuring, acquisition related adjustments, impairment charges, stock compensation and other items which management considers to be outside core operating results. The CODM reviews this metric regularly to assess profitability, identify trends, and evaluate requirements for additional resources or strategic adjustments. The CODM uses Adjusted EBITDA to support the allocation of resources predominantly in the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04"/>
          </w:cols>
          <w:pgMar w:left="436" w:top="270" w:right="459" w:bottom="1440" w:gutter="0" w:footer="0" w:header="0"/>
        </w:sectPr>
      </w:pPr>
    </w:p>
    <w:bookmarkStart w:id="202" w:name="page203"/>
    <w:bookmarkEnd w:id="202"/>
    <w:p>
      <w:pPr>
        <w:ind w:left="44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budget and forecasting process. The company believes that investors find this measure useful in comparing our operating performance to that of other companies in our industry because this measure generally illustrates the underlying performance of the business.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company’s business segment:</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40" w:type="dxa"/>
            <w:vAlign w:val="bottom"/>
          </w:tcPr>
          <w:p>
            <w:pPr>
              <w:spacing w:after="0"/>
              <w:rPr>
                <w:sz w:val="15"/>
                <w:szCs w:val="15"/>
                <w:color w:val="auto"/>
              </w:rPr>
            </w:pPr>
          </w:p>
        </w:tc>
        <w:tc>
          <w:tcPr>
            <w:tcW w:w="24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74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7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225,046</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147,638</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107,548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5"/>
                <w:szCs w:val="25"/>
                <w:color w:val="auto"/>
                <w:vertAlign w:val="superscript"/>
              </w:rPr>
              <w:t>(1)</w:t>
            </w:r>
          </w:p>
        </w:tc>
        <w:tc>
          <w:tcPr>
            <w:tcW w:w="42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43,249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34,875</w:t>
            </w: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Segment adjusted EBITDA </w:t>
            </w:r>
            <w:r>
              <w:rPr>
                <w:rFonts w:ascii="Times New Roman" w:cs="Times New Roman" w:eastAsia="Times New Roman" w:hAnsi="Times New Roman"/>
                <w:sz w:val="25"/>
                <w:szCs w:val="25"/>
                <w:color w:val="auto"/>
                <w:vertAlign w:val="superscript"/>
              </w:rPr>
              <w:t>(2)</w:t>
            </w:r>
          </w:p>
        </w:tc>
        <w:tc>
          <w:tcPr>
            <w:tcW w:w="4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34,159</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26,077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Depreciation expense </w:t>
            </w:r>
            <w:r>
              <w:rPr>
                <w:rFonts w:ascii="Times New Roman" w:cs="Times New Roman" w:eastAsia="Times New Roman" w:hAnsi="Times New Roman"/>
                <w:sz w:val="25"/>
                <w:szCs w:val="25"/>
                <w:color w:val="auto"/>
                <w:vertAlign w:val="superscript"/>
              </w:rPr>
              <w:t>(3)</w:t>
            </w:r>
          </w:p>
        </w:tc>
        <w:tc>
          <w:tcPr>
            <w:tcW w:w="42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3,851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4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2,721</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2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3,403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19,291</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424" w:right="160" w:hanging="424"/>
        <w:spacing w:after="0" w:line="257" w:lineRule="auto"/>
        <w:tabs>
          <w:tab w:leader="none" w:pos="4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operating expenses, which primarily consists of selling, general and administrative expenses. Other segment items excludes the impact of depreciation, intangible amortization, restructuring, stock compensation and other items that neither relate to the ordinary course of the Company’s business nor reflect the Company’s underlying business performance.</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impacts mentioned in Other segment items.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of finance lease ROU assets.</w:t>
      </w:r>
    </w:p>
    <w:p>
      <w:pPr>
        <w:spacing w:after="0" w:line="98"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segment Adjusted EBITDA to net earnings is as follows: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7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15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Less: Other segment operating expenses </w:t>
            </w:r>
            <w:r>
              <w:rPr>
                <w:rFonts w:ascii="Times New Roman" w:cs="Times New Roman" w:eastAsia="Times New Roman" w:hAnsi="Times New Roman"/>
                <w:sz w:val="25"/>
                <w:szCs w:val="25"/>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15,767</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18,392</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Pr>
          <w:p>
            <w:pPr>
              <w:spacing w:after="0"/>
              <w:rPr>
                <w:sz w:val="18"/>
                <w:szCs w:val="18"/>
                <w:color w:val="auto"/>
              </w:rPr>
            </w:pPr>
          </w:p>
        </w:tc>
        <w:tc>
          <w:tcPr>
            <w:tcW w:w="13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(614)</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4,689</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right="380" w:hanging="4"/>
        <w:spacing w:after="0" w:line="282" w:lineRule="auto"/>
        <w:tabs>
          <w:tab w:leader="none" w:pos="69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impact of depreciation, intangible amortization, restructuring, stock compensation and other items that neither relate to the ordinary course of the Company’s business nor reflect the Company’s underlying business performance.</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Total assets for the Company’s segment were $1,413.7 million and $1,461.0 million as of April 4, 2026 and January 3, 2026, respectively.</w:t>
      </w:r>
    </w:p>
    <w:p>
      <w:pPr>
        <w:spacing w:after="0" w:line="370" w:lineRule="exact"/>
        <w:rPr>
          <w:sz w:val="20"/>
          <w:szCs w:val="20"/>
          <w:color w:val="auto"/>
        </w:rPr>
      </w:pPr>
    </w:p>
    <w:p>
      <w:pPr>
        <w:ind w:left="444" w:right="5640" w:hanging="444"/>
        <w:spacing w:after="0" w:line="378" w:lineRule="auto"/>
        <w:tabs>
          <w:tab w:leader="none" w:pos="436"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RELATIONSHIP WITH PARENT AND RELATED ENTITIES </w:t>
      </w:r>
      <w:r>
        <w:rPr>
          <w:rFonts w:ascii="Times New Roman" w:cs="Times New Roman" w:eastAsia="Times New Roman" w:hAnsi="Times New Roman"/>
          <w:sz w:val="18"/>
          <w:szCs w:val="18"/>
          <w:i w:val="1"/>
          <w:iCs w:val="1"/>
          <w:color w:val="auto"/>
        </w:rPr>
        <w:t>Related Party Transactions</w:t>
      </w: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Throughout the periods covered by the Condensed Combined Financial Statements, FPG engaged in sales and purchases of finished goods to and from Middleby subsidiaries. These related party sales to other Middleby entities amount to $0.7 million and $0.6 million, and purchases amount to $1.9 million and $1.3 million, for the three months ended April 4, 2026 and March 29, 2025, respectively.</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04"/>
          </w:cols>
          <w:pgMar w:left="436" w:top="270"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Party Balances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and due from Middleby affiliates are summarized in the table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April 4, 2026</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 2026</w:t>
            </w:r>
          </w:p>
        </w:tc>
      </w:tr>
      <w:tr>
        <w:trPr>
          <w:trHeight w:val="209"/>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00" w:type="dxa"/>
            <w:vAlign w:val="bottom"/>
          </w:tcPr>
          <w:p>
            <w:pPr>
              <w:spacing w:after="0"/>
              <w:rPr>
                <w:sz w:val="18"/>
                <w:szCs w:val="18"/>
                <w:color w:val="auto"/>
              </w:rPr>
            </w:pPr>
          </w:p>
        </w:tc>
        <w:tc>
          <w:tcPr>
            <w:tcW w:w="14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2,492</w:t>
            </w:r>
          </w:p>
        </w:tc>
        <w:tc>
          <w:tcPr>
            <w:tcW w:w="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2,106</w:t>
            </w:r>
          </w:p>
        </w:tc>
      </w:t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11,496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11,656</w:t>
            </w:r>
          </w:p>
        </w:tc>
      </w:tr>
    </w:tbl>
    <w:p>
      <w:pPr>
        <w:spacing w:after="0" w:line="19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loans receivable represent international revolving credit facilities to fund working capital needs outside the United States. At April 4, 2026 and January 3, 2026, these revolving credit facilities had a weighted average per annum interest rate of approximately 4.36% and 3.82%,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Corporate Expenses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Parent has incurred costs for various corporate services provided to FPG in the ordinary course of business, including executive management, finance, accounting, tax, treasury, human resources, legal, information technology, employee benefits administration, internal audit, supply chain, and other shared services. These corporate expenses have been allocated to FPG based on direct usage or benefit, where identifiable, with the remainder allocated based on headcount, revenue or other relevant measures. Management believes the basis on which the expenses have been allocated to be a reasonable reflection of the utilization of services provided to or the benefit received by 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Management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Cash is managed centrally at the Middleby level. The cash presented in the Condensed Combined Balance Sheets represents cash not subject to the Middleby centralized cash management process. Cash held in the Middleby centralized cash management process and commingled accounts with the Parent, or its subsidiaries, is presented within Net Parent Investment in the Condensed Combined Balance Sheets. Only cash amounts held in bank accounts controlled by FPG entities are reflected in the Condensed Combined Balance Sheets. Middleby provides funding for our operating and investing activities including pooled cash managed by Middleby treasury to fund operating expenses and capital expenditures. Middleby also directly collects certain of our receivables. These activities are reflected as a component of Parent company net investment, and this arrangement is not reflective of the manner in which we would operate on a standalone business separate from Middleby during the periods presented.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Parent Investment</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Parent Investment on the Condensed Combined Balance Sheets represents Middleby’s historical investment in FPG, the net effect of allocations from and transactions with Middleby, FPG’s retained earnings and cumulative effect adjustments from the adoption of new accounting standards.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 to Parent</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discussed in Note 1 in the basis of presentation section, Net Parent Investment is primarily impacted by contributions from Parent which are the result of treasury activity and net funding provided by or distributed to Parent. The components of net parent investment are: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00" w:type="dxa"/>
            <w:vAlign w:val="bottom"/>
            <w:vMerge w:val="continue"/>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4, 2026</w:t>
            </w: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to Parent as reflected in the Condensed Combined Statements of Cash Flows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(55,298)</w:t>
            </w:r>
          </w:p>
        </w:tc>
        <w:tc>
          <w:tcPr>
            <w:tcW w:w="7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(17,963)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16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2,508</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deferred tax and other</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146</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05"/>
        </w:trPr>
        <w:tc>
          <w:tcPr>
            <w:tcW w:w="7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transfers to Parent as reflected in the Condensed Combined Statements of Changes in</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Parent Company Net Investment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(52,644)</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(19,352)</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4900"/>
              <w:spacing w:after="0"/>
              <w:rPr>
                <w:sz w:val="20"/>
                <w:szCs w:val="20"/>
                <w:color w:val="auto"/>
              </w:rPr>
            </w:pPr>
            <w:r>
              <w:rPr>
                <w:rFonts w:ascii="Times New Roman" w:cs="Times New Roman" w:eastAsia="Times New Roman" w:hAnsi="Times New Roman"/>
                <w:sz w:val="18"/>
                <w:szCs w:val="18"/>
                <w:color w:val="auto"/>
              </w:rPr>
              <w:t>F-45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880" w:top="268" w:right="459" w:bottom="1440" w:gutter="0" w:footer="0" w:header="0"/>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980"/>
        </w:trPr>
        <w:tc>
          <w:tcPr>
            <w:tcW w:w="195" w:type="dxa"/>
            <w:vAlign w:val="bottom"/>
            <w:textDirection w:val="btLr"/>
          </w:tcPr>
          <w:p>
            <w:pPr>
              <w:spacing w:after="0"/>
              <w:rPr>
                <w:sz w:val="20"/>
                <w:szCs w:val="20"/>
                <w:color w:val="auto"/>
              </w:rPr>
            </w:pPr>
            <w:r>
              <w:rPr>
                <w:rFonts w:ascii="Times New Roman" w:cs="Times New Roman" w:eastAsia="Times New Roman" w:hAnsi="Times New Roman"/>
                <w:sz w:val="17"/>
                <w:szCs w:val="17"/>
                <w:color w:val="auto"/>
              </w:rPr>
              <w:t>T01030-TBD</w:t>
            </w: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173990</wp:posOffset>
            </wp:positionV>
            <wp:extent cx="1783080" cy="2146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8308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780" w:right="20"/>
        <w:spacing w:after="0" w:line="252" w:lineRule="auto"/>
        <w:rPr>
          <w:sz w:val="20"/>
          <w:szCs w:val="20"/>
          <w:color w:val="auto"/>
        </w:rPr>
      </w:pPr>
      <w:r>
        <w:rPr>
          <w:rFonts w:ascii="Times New Roman" w:cs="Times New Roman" w:eastAsia="Times New Roman" w:hAnsi="Times New Roman"/>
          <w:sz w:val="18"/>
          <w:szCs w:val="18"/>
          <w:color w:val="auto"/>
        </w:rPr>
        <w:t xml:space="preserve">You are receiving this communication because you hold securities in The Middleby Corporation (“Middleby”). Middleby has released informational materials that are now available for your review regarding the spin-off of its wholly owned subsidiary, Midera Food Processing, Inc. (“Midera”). To effect the spin-off, Middleby will distribute all of the issued and outstanding shares of Midera common stock on a pro rata basis to the holders of Middleby common stock as of 4:00 p.m. Central Time on June 26, 2026, the record date for the distribution. Immediately following the distribution, Midera and Middleby will be two independent, publicly traded companies. </w:t>
      </w:r>
      <w:r>
        <w:rPr>
          <w:rFonts w:ascii="Times New Roman" w:cs="Times New Roman" w:eastAsia="Times New Roman" w:hAnsi="Times New Roman"/>
          <w:sz w:val="18"/>
          <w:szCs w:val="18"/>
          <w:b w:val="1"/>
          <w:bCs w:val="1"/>
          <w:color w:val="auto"/>
        </w:rPr>
        <w:t>This notice provides instructions on how to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Information Statement that Midera has prepared in connection with the spin-off (the “Information Statement”), which, together with this notice, is being provided FOR YOUR INFORMATION ONLY. You are NOT required to respond or take any other action. Middleby is NOT soliciting a proxy or other consent from you in connection with the spin-off. These materials are NOT a form for voting. The Information Statement contains important information, and we encourage you to review it.</w:t>
      </w:r>
    </w:p>
    <w:p>
      <w:pPr>
        <w:spacing w:after="0" w:line="95" w:lineRule="exact"/>
        <w:rPr>
          <w:sz w:val="20"/>
          <w:szCs w:val="20"/>
          <w:color w:val="auto"/>
        </w:rPr>
      </w:pPr>
    </w:p>
    <w:p>
      <w:pPr>
        <w:ind w:left="1780" w:right="120"/>
        <w:spacing w:after="0" w:line="284" w:lineRule="auto"/>
        <w:rPr>
          <w:sz w:val="20"/>
          <w:szCs w:val="20"/>
          <w:color w:val="auto"/>
        </w:rPr>
      </w:pPr>
      <w:r>
        <w:rPr>
          <w:rFonts w:ascii="Times New Roman" w:cs="Times New Roman" w:eastAsia="Times New Roman" w:hAnsi="Times New Roman"/>
          <w:sz w:val="18"/>
          <w:szCs w:val="18"/>
          <w:color w:val="auto"/>
        </w:rPr>
        <w:t xml:space="preserve">You may view the materials online at </w:t>
      </w:r>
      <w:r>
        <w:rPr>
          <w:rFonts w:ascii="Times New Roman" w:cs="Times New Roman" w:eastAsia="Times New Roman" w:hAnsi="Times New Roman"/>
          <w:sz w:val="18"/>
          <w:szCs w:val="18"/>
          <w:i w:val="1"/>
          <w:iCs w:val="1"/>
          <w:color w:val="auto"/>
        </w:rPr>
        <w:t>www.materialnotice.com</w:t>
      </w:r>
      <w:r>
        <w:rPr>
          <w:rFonts w:ascii="Times New Roman" w:cs="Times New Roman" w:eastAsia="Times New Roman" w:hAnsi="Times New Roman"/>
          <w:sz w:val="18"/>
          <w:szCs w:val="18"/>
          <w:color w:val="auto"/>
        </w:rPr>
        <w:t xml:space="preserve"> and easily request a paper or e-mail copy (see reverse side).</w:t>
      </w:r>
    </w:p>
    <w:p>
      <w:pPr>
        <w:spacing w:after="0" w:line="7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FFFFFF"/>
        </w:rPr>
        <w:t>See the reverse side for instructions on how to access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-125095</wp:posOffset>
            </wp:positionV>
            <wp:extent cx="342900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00" cy="154305"/>
                    </a:xfrm>
                    <a:prstGeom prst="rect">
                      <a:avLst/>
                    </a:prstGeom>
                    <a:noFill/>
                  </pic:spPr>
                </pic:pic>
              </a:graphicData>
            </a:graphic>
          </wp:anchor>
        </w:drawing>
      </w:r>
    </w:p>
    <w:p>
      <w:pPr>
        <w:sectPr>
          <w:pgSz w:w="11900" w:h="16838" w:orient="portrait"/>
          <w:cols w:equalWidth="0" w:num="2">
            <w:col w:w="2617" w:space="720"/>
            <w:col w:w="7180"/>
          </w:cols>
          <w:pgMar w:left="423" w:top="261" w:right="959" w:bottom="1440" w:gutter="0" w:footer="0" w:header="0"/>
        </w:sectPr>
      </w:pPr>
    </w:p>
    <w:bookmarkStart w:id="205" w:name="page206"/>
    <w:bookmarkEnd w:id="205"/>
    <w:p>
      <w:pPr>
        <w:ind w:left="71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811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2811145"/>
                    </a:xfrm>
                    <a:prstGeom prst="rect">
                      <a:avLst/>
                    </a:prstGeom>
                    <a:noFill/>
                  </pic:spPr>
                </pic:pic>
              </a:graphicData>
            </a:graphic>
          </wp:anchor>
        </w:drawing>
        <w:t>Materials Available to VIEW or RECEIVE:</w:t>
      </w:r>
    </w:p>
    <w:p>
      <w:pPr>
        <w:spacing w:after="0" w:line="266" w:lineRule="exact"/>
        <w:rPr>
          <w:sz w:val="20"/>
          <w:szCs w:val="20"/>
          <w:color w:val="auto"/>
        </w:rPr>
      </w:pPr>
    </w:p>
    <w:p>
      <w:pPr>
        <w:ind w:left="737"/>
        <w:spacing w:after="0"/>
        <w:rPr>
          <w:sz w:val="20"/>
          <w:szCs w:val="20"/>
          <w:color w:val="auto"/>
        </w:rPr>
      </w:pPr>
      <w:r>
        <w:rPr>
          <w:rFonts w:ascii="Times New Roman" w:cs="Times New Roman" w:eastAsia="Times New Roman" w:hAnsi="Times New Roman"/>
          <w:sz w:val="18"/>
          <w:szCs w:val="18"/>
          <w:b w:val="1"/>
          <w:bCs w:val="1"/>
          <w:color w:val="auto"/>
        </w:rPr>
        <w:t>How to View Online:</w:t>
      </w:r>
    </w:p>
    <w:p>
      <w:pPr>
        <w:spacing w:after="0" w:line="119" w:lineRule="exact"/>
        <w:rPr>
          <w:sz w:val="20"/>
          <w:szCs w:val="20"/>
          <w:color w:val="auto"/>
        </w:rPr>
      </w:pPr>
    </w:p>
    <w:p>
      <w:pPr>
        <w:ind w:left="737"/>
        <w:spacing w:after="0"/>
        <w:rPr>
          <w:sz w:val="20"/>
          <w:szCs w:val="20"/>
          <w:color w:val="auto"/>
        </w:rPr>
      </w:pPr>
      <w:r>
        <w:rPr>
          <w:rFonts w:ascii="Times New Roman" w:cs="Times New Roman" w:eastAsia="Times New Roman" w:hAnsi="Times New Roman"/>
          <w:sz w:val="18"/>
          <w:szCs w:val="18"/>
          <w:color w:val="auto"/>
        </w:rPr>
        <w:t xml:space="preserve">Visit: </w:t>
      </w:r>
      <w:r>
        <w:rPr>
          <w:rFonts w:ascii="Times New Roman" w:cs="Times New Roman" w:eastAsia="Times New Roman" w:hAnsi="Times New Roman"/>
          <w:sz w:val="18"/>
          <w:szCs w:val="18"/>
          <w:i w:val="1"/>
          <w:iCs w:val="1"/>
          <w:color w:val="auto"/>
        </w:rPr>
        <w:t>www.materialnotice.com.</w:t>
      </w:r>
      <w:r>
        <w:rPr>
          <w:rFonts w:ascii="Times New Roman" w:cs="Times New Roman" w:eastAsia="Times New Roman" w:hAnsi="Times New Roman"/>
          <w:sz w:val="18"/>
          <w:szCs w:val="18"/>
          <w:color w:val="auto"/>
        </w:rPr>
        <w:t xml:space="preserve"> Have the information that is printed in the box marked by the arrow above.</w:t>
      </w:r>
    </w:p>
    <w:p>
      <w:pPr>
        <w:spacing w:after="0" w:line="331" w:lineRule="exact"/>
        <w:rPr>
          <w:sz w:val="20"/>
          <w:szCs w:val="20"/>
          <w:color w:val="auto"/>
        </w:rPr>
      </w:pPr>
    </w:p>
    <w:p>
      <w:pPr>
        <w:ind w:left="737"/>
        <w:spacing w:after="0"/>
        <w:rPr>
          <w:sz w:val="20"/>
          <w:szCs w:val="20"/>
          <w:color w:val="auto"/>
        </w:rPr>
      </w:pPr>
      <w:r>
        <w:rPr>
          <w:rFonts w:ascii="Times New Roman" w:cs="Times New Roman" w:eastAsia="Times New Roman" w:hAnsi="Times New Roman"/>
          <w:sz w:val="18"/>
          <w:szCs w:val="18"/>
          <w:b w:val="1"/>
          <w:bCs w:val="1"/>
          <w:color w:val="auto"/>
        </w:rPr>
        <w:t>How to Request and Receive a PAPER or E-MAIL Copy:</w:t>
      </w:r>
    </w:p>
    <w:p>
      <w:pPr>
        <w:spacing w:after="0" w:line="121" w:lineRule="exact"/>
        <w:rPr>
          <w:sz w:val="20"/>
          <w:szCs w:val="20"/>
          <w:color w:val="auto"/>
        </w:rPr>
      </w:pPr>
    </w:p>
    <w:p>
      <w:pPr>
        <w:ind w:left="737"/>
        <w:spacing w:after="0"/>
        <w:rPr>
          <w:sz w:val="20"/>
          <w:szCs w:val="20"/>
          <w:color w:val="auto"/>
        </w:rPr>
      </w:pPr>
      <w:r>
        <w:rPr>
          <w:rFonts w:ascii="Times New Roman" w:cs="Times New Roman" w:eastAsia="Times New Roman" w:hAnsi="Times New Roman"/>
          <w:sz w:val="18"/>
          <w:szCs w:val="18"/>
          <w:color w:val="auto"/>
        </w:rPr>
        <w:t>If you want to receive a paper or e-mail copy of these materials, you must request one. There is NO charge for requesting a copy.</w:t>
      </w:r>
    </w:p>
    <w:p>
      <w:pPr>
        <w:spacing w:after="0" w:line="27" w:lineRule="exact"/>
        <w:rPr>
          <w:sz w:val="20"/>
          <w:szCs w:val="20"/>
          <w:color w:val="auto"/>
        </w:rPr>
      </w:pPr>
    </w:p>
    <w:p>
      <w:pPr>
        <w:ind w:left="737"/>
        <w:spacing w:after="0"/>
        <w:rPr>
          <w:sz w:val="20"/>
          <w:szCs w:val="20"/>
          <w:color w:val="auto"/>
        </w:rPr>
      </w:pPr>
      <w:r>
        <w:rPr>
          <w:rFonts w:ascii="Times New Roman" w:cs="Times New Roman" w:eastAsia="Times New Roman" w:hAnsi="Times New Roman"/>
          <w:sz w:val="18"/>
          <w:szCs w:val="18"/>
          <w:color w:val="auto"/>
        </w:rPr>
        <w:t>Please choose one of the following methods to make your request:</w:t>
      </w:r>
    </w:p>
    <w:p>
      <w:pPr>
        <w:spacing w:after="0" w:line="110" w:lineRule="exact"/>
        <w:rPr>
          <w:sz w:val="20"/>
          <w:szCs w:val="20"/>
          <w:color w:val="auto"/>
        </w:rPr>
      </w:pPr>
    </w:p>
    <w:p>
      <w:pPr>
        <w:ind w:left="1617" w:hanging="196"/>
        <w:spacing w:after="0"/>
        <w:tabs>
          <w:tab w:leader="none" w:pos="161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www.materialnotice.com</w:t>
      </w:r>
    </w:p>
    <w:p>
      <w:pPr>
        <w:spacing w:after="0" w:line="29" w:lineRule="exact"/>
        <w:rPr>
          <w:rFonts w:ascii="Times New Roman" w:cs="Times New Roman" w:eastAsia="Times New Roman" w:hAnsi="Times New Roman"/>
          <w:sz w:val="18"/>
          <w:szCs w:val="18"/>
          <w:color w:val="auto"/>
        </w:rPr>
      </w:pPr>
    </w:p>
    <w:p>
      <w:pPr>
        <w:ind w:left="1617" w:hanging="196"/>
        <w:spacing w:after="0"/>
        <w:tabs>
          <w:tab w:leader="none" w:pos="161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1-800-579-1639</w:t>
      </w:r>
    </w:p>
    <w:p>
      <w:pPr>
        <w:spacing w:after="0" w:line="9" w:lineRule="exact"/>
        <w:rPr>
          <w:sz w:val="20"/>
          <w:szCs w:val="20"/>
          <w:color w:val="auto"/>
        </w:rPr>
      </w:pPr>
    </w:p>
    <w:p>
      <w:pPr>
        <w:ind w:left="1417"/>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i w:val="1"/>
          <w:iCs w:val="1"/>
          <w:color w:val="auto"/>
        </w:rPr>
        <w:t>BY E-MAIL*</w:t>
      </w:r>
      <w:r>
        <w:rPr>
          <w:rFonts w:ascii="Times New Roman" w:cs="Times New Roman" w:eastAsia="Times New Roman" w:hAnsi="Times New Roman"/>
          <w:sz w:val="18"/>
          <w:szCs w:val="18"/>
          <w:color w:val="auto"/>
        </w:rPr>
        <w:t>:          sendmaterial@materialnotice.com</w:t>
      </w:r>
    </w:p>
    <w:p>
      <w:pPr>
        <w:spacing w:after="0" w:line="234" w:lineRule="exact"/>
        <w:rPr>
          <w:sz w:val="20"/>
          <w:szCs w:val="20"/>
          <w:color w:val="auto"/>
        </w:rPr>
      </w:pPr>
    </w:p>
    <w:p>
      <w:pPr>
        <w:ind w:left="917" w:hanging="198"/>
        <w:spacing w:after="0" w:line="282" w:lineRule="auto"/>
        <w:tabs>
          <w:tab w:leader="none" w:pos="91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requesting materials by e-mail, please send a blank e-mail with the information that is printed in the box marked by the arrow above in the subject line.</w:t>
      </w:r>
    </w:p>
    <w:p>
      <w:pPr>
        <w:spacing w:after="0" w:line="162" w:lineRule="exact"/>
        <w:rPr>
          <w:sz w:val="20"/>
          <w:szCs w:val="20"/>
          <w:color w:val="auto"/>
        </w:rPr>
      </w:pPr>
    </w:p>
    <w:p>
      <w:pPr>
        <w:ind w:left="737"/>
        <w:spacing w:after="0"/>
        <w:rPr>
          <w:sz w:val="20"/>
          <w:szCs w:val="20"/>
          <w:color w:val="auto"/>
        </w:rPr>
      </w:pPr>
      <w:r>
        <w:rPr>
          <w:rFonts w:ascii="Times New Roman" w:cs="Times New Roman" w:eastAsia="Times New Roman" w:hAnsi="Times New Roman"/>
          <w:sz w:val="18"/>
          <w:szCs w:val="18"/>
          <w:color w:val="auto"/>
        </w:rPr>
        <w:t>Requests, instructions and other inquiries sent to this e-mail address will NOT be forwarded to your investment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980"/>
        </w:trPr>
        <w:tc>
          <w:tcPr>
            <w:tcW w:w="195" w:type="dxa"/>
            <w:vAlign w:val="bottom"/>
            <w:textDirection w:val="btLr"/>
          </w:tcPr>
          <w:p>
            <w:pPr>
              <w:spacing w:after="0"/>
              <w:rPr>
                <w:sz w:val="20"/>
                <w:szCs w:val="20"/>
                <w:color w:val="auto"/>
              </w:rPr>
            </w:pPr>
            <w:r>
              <w:rPr>
                <w:rFonts w:ascii="Times New Roman" w:cs="Times New Roman" w:eastAsia="Times New Roman" w:hAnsi="Times New Roman"/>
                <w:sz w:val="17"/>
                <w:szCs w:val="17"/>
                <w:color w:val="auto"/>
              </w:rPr>
              <w:t>T01031-TBD</w:t>
            </w:r>
          </w:p>
        </w:tc>
      </w:tr>
    </w:tbl>
    <w:p>
      <w:pPr>
        <w:sectPr>
          <w:pgSz w:w="11900" w:h="16838" w:orient="portrait"/>
          <w:cols w:equalWidth="0" w:num="1">
            <w:col w:w="10097"/>
          </w:cols>
          <w:pgMar w:left="423" w:top="504" w:right="1379" w:bottom="1440" w:gutter="0" w:footer="0" w:header="0"/>
        </w:sectPr>
      </w:pPr>
    </w:p>
    <w:bookmarkStart w:id="206" w:name="page207"/>
    <w:bookmarkEnd w:id="2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THIS NOTICE WILL ENABLE YOU TO ACCESS MATERIALS FOR INFORMATIONAL PURPOSES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3" w:type="dxa"/>
        <w:tblCellMar>
          <w:top w:w="0" w:type="dxa"/>
          <w:left w:w="0" w:type="dxa"/>
          <w:bottom w:w="0" w:type="dxa"/>
          <w:right w:w="0" w:type="dxa"/>
        </w:tblCellMar>
      </w:tblPr>
      <w:tr>
        <w:trPr>
          <w:trHeight w:val="980"/>
        </w:trPr>
        <w:tc>
          <w:tcPr>
            <w:tcW w:w="195" w:type="dxa"/>
            <w:vAlign w:val="bottom"/>
            <w:textDirection w:val="btLr"/>
          </w:tcPr>
          <w:p>
            <w:pPr>
              <w:spacing w:after="0"/>
              <w:rPr>
                <w:sz w:val="20"/>
                <w:szCs w:val="20"/>
                <w:color w:val="auto"/>
              </w:rPr>
            </w:pPr>
            <w:r>
              <w:rPr>
                <w:rFonts w:ascii="Times New Roman" w:cs="Times New Roman" w:eastAsia="Times New Roman" w:hAnsi="Times New Roman"/>
                <w:sz w:val="17"/>
                <w:szCs w:val="17"/>
                <w:color w:val="auto"/>
              </w:rPr>
              <w:t>T01032-TBD</w:t>
            </w:r>
          </w:p>
        </w:tc>
      </w:tr>
    </w:tbl>
    <w:p>
      <w:pPr>
        <w:sectPr>
          <w:pgSz w:w="11900" w:h="16838" w:orient="portrait"/>
          <w:cols w:equalWidth="0" w:num="1">
            <w:col w:w="10079"/>
          </w:cols>
          <w:pgMar w:left="380" w:top="1440" w:right="1440" w:bottom="1440" w:gutter="0" w:footer="0" w:header="0"/>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b w:val="1"/>
          <w:bCs w:val="1"/>
          <w:color w:val="auto"/>
        </w:rPr>
        <w:t>THIS PAGE WAS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43" w:type="dxa"/>
        <w:tblCellMar>
          <w:top w:w="0" w:type="dxa"/>
          <w:left w:w="0" w:type="dxa"/>
          <w:bottom w:w="0" w:type="dxa"/>
          <w:right w:w="0" w:type="dxa"/>
        </w:tblCellMar>
      </w:tblPr>
      <w:tr>
        <w:trPr>
          <w:trHeight w:val="980"/>
        </w:trPr>
        <w:tc>
          <w:tcPr>
            <w:tcW w:w="195" w:type="dxa"/>
            <w:vAlign w:val="bottom"/>
            <w:textDirection w:val="btLr"/>
          </w:tcPr>
          <w:p>
            <w:pPr>
              <w:spacing w:after="0"/>
              <w:rPr>
                <w:sz w:val="20"/>
                <w:szCs w:val="20"/>
                <w:color w:val="auto"/>
              </w:rPr>
            </w:pPr>
            <w:r>
              <w:rPr>
                <w:rFonts w:ascii="Times New Roman" w:cs="Times New Roman" w:eastAsia="Times New Roman" w:hAnsi="Times New Roman"/>
                <w:sz w:val="17"/>
                <w:szCs w:val="17"/>
                <w:color w:val="auto"/>
              </w:rPr>
              <w:t>T01033-TBD</w:t>
            </w:r>
          </w:p>
        </w:tc>
      </w:tr>
    </w:tbl>
    <w:p>
      <w:pPr>
        <w:spacing w:after="0" w:line="1" w:lineRule="exact"/>
        <w:rPr>
          <w:sz w:val="20"/>
          <w:szCs w:val="20"/>
          <w:color w:val="auto"/>
        </w:rPr>
      </w:pPr>
    </w:p>
    <w:sectPr>
      <w:pgSz w:w="11900" w:h="16838" w:orient="portrait"/>
      <w:cols w:equalWidth="0" w:num="1">
        <w:col w:w="10079"/>
      </w:cols>
      <w:pgMar w:left="3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lvl w:ilvl="1">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lvl w:ilvl="1">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1)"/>
      <w:numFmt w:val="lowerLetter"/>
      <w:start w:val="1"/>
    </w:lvl>
  </w:abstractNum>
  <w:abstractNum w:abstractNumId="47">
    <w:nsid w:val="3222E7CD"/>
    <w:multiLevelType w:val="hybridMultilevel"/>
    <w:lvl w:ilvl="0">
      <w:lvlJc w:val="left"/>
      <w:lvlText w:val="(%1)"/>
      <w:numFmt w:val="lowerLetter"/>
      <w:start w:val="2"/>
    </w:lvl>
  </w:abstractNum>
  <w:abstractNum w:abstractNumId="48">
    <w:nsid w:val="74DE0EE3"/>
    <w:multiLevelType w:val="hybridMultilevel"/>
    <w:lvl w:ilvl="0">
      <w:lvlJc w:val="left"/>
      <w:lvlText w:val="(%1)"/>
      <w:numFmt w:val="lowerLetter"/>
      <w:start w:val="3"/>
    </w:lvl>
  </w:abstractNum>
  <w:abstractNum w:abstractNumId="49">
    <w:nsid w:val="68EBC550"/>
    <w:multiLevelType w:val="hybridMultilevel"/>
    <w:lvl w:ilvl="0">
      <w:lvlJc w:val="left"/>
      <w:lvlText w:val="(%1)"/>
      <w:numFmt w:val="lowerLetter"/>
      <w:start w:val="8"/>
    </w:lvl>
  </w:abstractNum>
  <w:abstractNum w:abstractNumId="50">
    <w:nsid w:val="2DF6D648"/>
    <w:multiLevelType w:val="hybridMultilevel"/>
    <w:lvl w:ilvl="0">
      <w:lvlJc w:val="left"/>
      <w:lvlText w:val="(%1)"/>
      <w:numFmt w:val="lowerLetter"/>
      <w:start w:val="9"/>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
      <w:numFmt w:val="bullet"/>
      <w:start w:val="1"/>
    </w:lvl>
    <w:lvl w:ilvl="1">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lvl w:ilvl="1">
      <w:lvlJc w:val="left"/>
      <w:lvlText w:val="•"/>
      <w:numFmt w:val="bullet"/>
      <w:start w:val="1"/>
    </w:lvl>
  </w:abstractNum>
  <w:abstractNum w:abstractNumId="58">
    <w:nsid w:val="26F324BA"/>
    <w:multiLevelType w:val="hybridMultilevel"/>
    <w:lvl w:ilvl="0">
      <w:lvlJc w:val="left"/>
      <w:lvlText w:val="(%1)"/>
      <w:numFmt w:val="decimal"/>
      <w:start w:val="1"/>
    </w:lvl>
  </w:abstractNum>
  <w:abstractNum w:abstractNumId="59">
    <w:nsid w:val="7F01579B"/>
    <w:multiLevelType w:val="hybridMultilevel"/>
    <w:lvl w:ilvl="0">
      <w:lvlJc w:val="left"/>
      <w:lvlText w:val="(%1)"/>
      <w:numFmt w:val="decimal"/>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1)"/>
      <w:numFmt w:val="decimal"/>
      <w:start w:val="1"/>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1)"/>
      <w:numFmt w:val="decimal"/>
      <w:start w:val="1"/>
    </w:lvl>
  </w:abstractNum>
  <w:abstractNum w:abstractNumId="69">
    <w:nsid w:val="6A5F7029"/>
    <w:multiLevelType w:val="hybridMultilevel"/>
    <w:lvl w:ilvl="0">
      <w:lvlJc w:val="left"/>
      <w:lvlText w:val="(%1)"/>
      <w:numFmt w:val="decimal"/>
      <w:start w:val="1"/>
    </w:lvl>
  </w:abstractNum>
  <w:abstractNum w:abstractNumId="70">
    <w:nsid w:val="7D5E18F8"/>
    <w:multiLevelType w:val="hybridMultilevel"/>
    <w:lvl w:ilvl="0">
      <w:lvlJc w:val="left"/>
      <w:lvlText w:val="(%1)"/>
      <w:numFmt w:val="decimal"/>
      <w:start w:val="1"/>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1)"/>
      <w:numFmt w:val="decimal"/>
      <w:start w:val="1"/>
    </w:lvl>
  </w:abstractNum>
  <w:abstractNum w:abstractNumId="74">
    <w:nsid w:val="555C55B5"/>
    <w:multiLevelType w:val="hybridMultilevel"/>
    <w:lvl w:ilvl="0">
      <w:lvlJc w:val="left"/>
      <w:lvlText w:val="(%1)"/>
      <w:numFmt w:val="decimal"/>
      <w:start w:val="1"/>
    </w:lvl>
    <w:lvl w:ilvl="1">
      <w:lvlJc w:val="left"/>
      <w:lvlText w:val="(%2)"/>
      <w:numFmt w:val="lowerRoman"/>
      <w:start w:val="2"/>
    </w:lvl>
  </w:abstractNum>
  <w:abstractNum w:abstractNumId="75">
    <w:nsid w:val="3FA62ACA"/>
    <w:multiLevelType w:val="hybridMultilevel"/>
    <w:lvl w:ilvl="0">
      <w:lvlJc w:val="left"/>
      <w:lvlText w:val="(%1)"/>
      <w:numFmt w:val="decimal"/>
      <w:start w:val="7"/>
    </w:lvl>
    <w:lvl w:ilvl="1">
      <w:lvlJc w:val="left"/>
      <w:lvlText w:val="(%2)"/>
      <w:numFmt w:val="lowerRoman"/>
      <w:start w:val="2"/>
    </w:lvl>
  </w:abstractNum>
  <w:abstractNum w:abstractNumId="76">
    <w:nsid w:val="14FCE74E"/>
    <w:multiLevelType w:val="hybridMultilevel"/>
    <w:lvl w:ilvl="0">
      <w:lvlJc w:val="left"/>
      <w:lvlText w:val="(%1)"/>
      <w:numFmt w:val="lowerRoman"/>
      <w:start w:val="2"/>
    </w:lvl>
  </w:abstractNum>
  <w:abstractNum w:abstractNumId="77">
    <w:nsid w:val="6A3DD3E8"/>
    <w:multiLevelType w:val="hybridMultilevel"/>
    <w:lvl w:ilvl="0">
      <w:lvlJc w:val="left"/>
      <w:lvlText w:val="(%1)"/>
      <w:numFmt w:val="lowerRoman"/>
      <w:start w:val="3"/>
    </w:lvl>
  </w:abstractNum>
  <w:abstractNum w:abstractNumId="78">
    <w:nsid w:val="71C91298"/>
    <w:multiLevelType w:val="hybridMultilevel"/>
    <w:lvl w:ilvl="0">
      <w:lvlJc w:val="left"/>
      <w:lvlText w:val="(%1)"/>
      <w:numFmt w:val="lowerRoman"/>
      <w:start w:val="2"/>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1)"/>
      <w:numFmt w:val="lowerRoman"/>
      <w:start w:val="6"/>
    </w:lvl>
  </w:abstractNum>
  <w:abstractNum w:abstractNumId="82">
    <w:nsid w:val="5092CA79"/>
    <w:multiLevelType w:val="hybridMultilevel"/>
    <w:lvl w:ilvl="0">
      <w:lvlJc w:val="left"/>
      <w:lvlText w:val="(%1)"/>
      <w:numFmt w:val="decimal"/>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1)"/>
      <w:numFmt w:val="decimal"/>
      <w:start w:val="1"/>
    </w:lvl>
  </w:abstractNum>
  <w:abstractNum w:abstractNumId="85">
    <w:nsid w:val="288F1A34"/>
    <w:multiLevelType w:val="hybridMultilevel"/>
    <w:lvl w:ilvl="0">
      <w:lvlJc w:val="left"/>
      <w:lvlText w:val="(%1)"/>
      <w:numFmt w:val="lowerLetter"/>
      <w:start w:val="1"/>
    </w:lvl>
  </w:abstractNum>
  <w:abstractNum w:abstractNumId="86">
    <w:nsid w:val="2A155DBC"/>
    <w:multiLevelType w:val="hybridMultilevel"/>
    <w:lvl w:ilvl="0">
      <w:lvlJc w:val="left"/>
      <w:lvlText w:val="(%1)"/>
      <w:numFmt w:val="lowerLetter"/>
      <w:start w:val="2"/>
    </w:lvl>
  </w:abstractNum>
  <w:abstractNum w:abstractNumId="87">
    <w:nsid w:val="1D9F6E5F"/>
    <w:multiLevelType w:val="hybridMultilevel"/>
    <w:lvl w:ilvl="0">
      <w:lvlJc w:val="left"/>
      <w:lvlText w:val="(%1)"/>
      <w:numFmt w:val="lowerLetter"/>
      <w:start w:val="3"/>
    </w:lvl>
  </w:abstractNum>
  <w:abstractNum w:abstractNumId="88">
    <w:nsid w:val="97E1B4E"/>
    <w:multiLevelType w:val="hybridMultilevel"/>
    <w:lvl w:ilvl="0">
      <w:lvlJc w:val="left"/>
      <w:lvlText w:val="(%1)"/>
      <w:numFmt w:val="decimal"/>
      <w:start w:val="2"/>
    </w:lvl>
  </w:abstractNum>
  <w:abstractNum w:abstractNumId="89">
    <w:nsid w:val="51088277"/>
    <w:multiLevelType w:val="hybridMultilevel"/>
    <w:lvl w:ilvl="0">
      <w:lvlJc w:val="left"/>
      <w:lvlText w:val="(%1)"/>
      <w:numFmt w:val="decimal"/>
      <w:start w:val="3"/>
    </w:lvl>
  </w:abstractNum>
  <w:abstractNum w:abstractNumId="90">
    <w:nsid w:val="1CA0C5FA"/>
    <w:multiLevelType w:val="hybridMultilevel"/>
    <w:lvl w:ilvl="0">
      <w:lvlJc w:val="left"/>
      <w:lvlText w:val="(%1)"/>
      <w:numFmt w:val="lowerLetter"/>
      <w:start w:val="1"/>
    </w:lvl>
  </w:abstractNum>
  <w:abstractNum w:abstractNumId="91">
    <w:nsid w:val="53584BCB"/>
    <w:multiLevelType w:val="hybridMultilevel"/>
    <w:lvl w:ilvl="0">
      <w:lvlJc w:val="left"/>
      <w:lvlText w:val="(%1)"/>
      <w:numFmt w:val="lowerLetter"/>
      <w:start w:val="2"/>
    </w:lvl>
  </w:abstractNum>
  <w:abstractNum w:abstractNumId="92">
    <w:nsid w:val="415E286C"/>
    <w:multiLevelType w:val="hybridMultilevel"/>
    <w:lvl w:ilvl="0">
      <w:lvlJc w:val="left"/>
      <w:lvlText w:val="(%1)"/>
      <w:numFmt w:val="lowerLetter"/>
      <w:start w:val="3"/>
    </w:lvl>
  </w:abstractNum>
  <w:abstractNum w:abstractNumId="93">
    <w:nsid w:val="7C58FD05"/>
    <w:multiLevelType w:val="hybridMultilevel"/>
    <w:lvl w:ilvl="0">
      <w:lvlJc w:val="left"/>
      <w:lvlText w:val="(%1)"/>
      <w:numFmt w:val="lowerLetter"/>
      <w:start w:val="5"/>
    </w:lvl>
  </w:abstractNum>
  <w:abstractNum w:abstractNumId="94">
    <w:nsid w:val="23D86AAC"/>
    <w:multiLevelType w:val="hybridMultilevel"/>
    <w:lvl w:ilvl="0">
      <w:lvlJc w:val="left"/>
      <w:lvlText w:val="(%1)"/>
      <w:numFmt w:val="lowerLetter"/>
      <w:start w:val="11"/>
    </w:lvl>
  </w:abstractNum>
  <w:abstractNum w:abstractNumId="95">
    <w:nsid w:val="45E6D486"/>
    <w:multiLevelType w:val="hybridMultilevel"/>
    <w:lvl w:ilvl="0">
      <w:lvlJc w:val="left"/>
      <w:lvlText w:val="(%1)"/>
      <w:numFmt w:val="lowerLetter"/>
      <w:start w:val="13"/>
    </w:lvl>
  </w:abstractNum>
  <w:abstractNum w:abstractNumId="96">
    <w:nsid w:val="5C10FE21"/>
    <w:multiLevelType w:val="hybridMultilevel"/>
    <w:lvl w:ilvl="0">
      <w:lvlJc w:val="left"/>
      <w:lvlText w:val="(%1)"/>
      <w:numFmt w:val="lowerLetter"/>
      <w:start w:val="14"/>
    </w:lvl>
  </w:abstractNum>
  <w:abstractNum w:abstractNumId="97">
    <w:nsid w:val="E7FFA2B"/>
    <w:multiLevelType w:val="hybridMultilevel"/>
    <w:lvl w:ilvl="0">
      <w:lvlJc w:val="left"/>
      <w:lvlText w:val="(%1)"/>
      <w:numFmt w:val="lowerLetter"/>
      <w:start w:val="15"/>
    </w:lvl>
  </w:abstractNum>
  <w:abstractNum w:abstractNumId="98">
    <w:nsid w:val="3C5991AA"/>
    <w:multiLevelType w:val="hybridMultilevel"/>
    <w:lvl w:ilvl="0">
      <w:lvlJc w:val="left"/>
      <w:lvlText w:val="(%1)"/>
      <w:numFmt w:val="lowerLetter"/>
      <w:start w:val="16"/>
    </w:lvl>
  </w:abstractNum>
  <w:abstractNum w:abstractNumId="99">
    <w:nsid w:val="4BD8591A"/>
    <w:multiLevelType w:val="hybridMultilevel"/>
    <w:lvl w:ilvl="0">
      <w:lvlJc w:val="left"/>
      <w:lvlText w:val="(%1)"/>
      <w:numFmt w:val="lowerLetter"/>
      <w:start w:val="17"/>
    </w:lvl>
  </w:abstractNum>
  <w:abstractNum w:abstractNumId="100">
    <w:nsid w:val="78DF6A55"/>
    <w:multiLevelType w:val="hybridMultilevel"/>
    <w:lvl w:ilvl="0">
      <w:lvlJc w:val="left"/>
      <w:lvlText w:val="(%1)"/>
      <w:numFmt w:val="lowerLetter"/>
      <w:start w:val="18"/>
    </w:lvl>
  </w:abstractNum>
  <w:abstractNum w:abstractNumId="101">
    <w:nsid w:val="39B7AAA2"/>
    <w:multiLevelType w:val="hybridMultilevel"/>
    <w:lvl w:ilvl="0">
      <w:lvlJc w:val="left"/>
      <w:lvlText w:val="(%1)"/>
      <w:numFmt w:val="lowerLetter"/>
      <w:start w:val="19"/>
    </w:lvl>
  </w:abstractNum>
  <w:abstractNum w:abstractNumId="102">
    <w:nsid w:val="2B0D8DBE"/>
    <w:multiLevelType w:val="hybridMultilevel"/>
    <w:lvl w:ilvl="0">
      <w:lvlJc w:val="left"/>
      <w:lvlText w:val="(%1)"/>
      <w:numFmt w:val="decimal"/>
      <w:start w:val="4"/>
    </w:lvl>
  </w:abstractNum>
  <w:abstractNum w:abstractNumId="103">
    <w:nsid w:val="6C80EC70"/>
    <w:multiLevelType w:val="hybridMultilevel"/>
    <w:lvl w:ilvl="0">
      <w:lvlJc w:val="left"/>
      <w:lvlText w:val="(%1)"/>
      <w:numFmt w:val="decimal"/>
      <w:start w:val="5"/>
    </w:lvl>
  </w:abstractNum>
  <w:abstractNum w:abstractNumId="104">
    <w:nsid w:val="379E21B5"/>
    <w:multiLevelType w:val="hybridMultilevel"/>
    <w:lvl w:ilvl="0">
      <w:lvlJc w:val="left"/>
      <w:lvlText w:val="(%1)"/>
      <w:numFmt w:val="decimal"/>
      <w:start w:val="6"/>
    </w:lvl>
  </w:abstractNum>
  <w:abstractNum w:abstractNumId="105">
    <w:nsid w:val="69E373"/>
    <w:multiLevelType w:val="hybridMultilevel"/>
    <w:lvl w:ilvl="0">
      <w:lvlJc w:val="left"/>
      <w:lvlText w:val="(%1)"/>
      <w:numFmt w:val="decimal"/>
      <w:start w:val="7"/>
    </w:lvl>
  </w:abstractNum>
  <w:abstractNum w:abstractNumId="106">
    <w:nsid w:val="2C27173B"/>
    <w:multiLevelType w:val="hybridMultilevel"/>
    <w:lvl w:ilvl="0">
      <w:lvlJc w:val="left"/>
      <w:lvlText w:val="(%1)"/>
      <w:numFmt w:val="decimal"/>
      <w:start w:val="1"/>
    </w:lvl>
  </w:abstractNum>
  <w:abstractNum w:abstractNumId="107">
    <w:nsid w:val="4C9B0904"/>
    <w:multiLevelType w:val="hybridMultilevel"/>
    <w:lvl w:ilvl="0">
      <w:lvlJc w:val="left"/>
      <w:lvlText w:val="(%1)"/>
      <w:numFmt w:val="decimal"/>
      <w:start w:val="1"/>
    </w:lvl>
  </w:abstractNum>
  <w:abstractNum w:abstractNumId="108">
    <w:nsid w:val="6AA7B75C"/>
    <w:multiLevelType w:val="hybridMultilevel"/>
    <w:lvl w:ilvl="0">
      <w:lvlJc w:val="left"/>
      <w:lvlText w:val="(%1)"/>
      <w:numFmt w:val="decimal"/>
      <w:start w:val="8"/>
    </w:lvl>
  </w:abstractNum>
  <w:abstractNum w:abstractNumId="109">
    <w:nsid w:val="1DF029D3"/>
    <w:multiLevelType w:val="hybridMultilevel"/>
    <w:lvl w:ilvl="0">
      <w:lvlJc w:val="left"/>
      <w:lvlText w:val="(%1)"/>
      <w:numFmt w:val="decimal"/>
      <w:start w:val="9"/>
    </w:lvl>
  </w:abstractNum>
  <w:abstractNum w:abstractNumId="110">
    <w:nsid w:val="5675FF36"/>
    <w:multiLevelType w:val="hybridMultilevel"/>
    <w:lvl w:ilvl="0">
      <w:lvlJc w:val="left"/>
      <w:lvlText w:val="(%1)"/>
      <w:numFmt w:val="decimal"/>
      <w:start w:val="1"/>
    </w:lvl>
  </w:abstractNum>
  <w:abstractNum w:abstractNumId="111">
    <w:nsid w:val="3DD15094"/>
    <w:multiLevelType w:val="hybridMultilevel"/>
    <w:lvl w:ilvl="0">
      <w:lvlJc w:val="left"/>
      <w:lvlText w:val="(%1)"/>
      <w:numFmt w:val="decimal"/>
      <w:start w:val="1"/>
    </w:lvl>
  </w:abstractNum>
  <w:abstractNum w:abstractNumId="112">
    <w:nsid w:val="3DB012B3"/>
    <w:multiLevelType w:val="hybridMultilevel"/>
    <w:lvl w:ilvl="0">
      <w:lvlJc w:val="left"/>
      <w:lvlText w:val="(%1)"/>
      <w:numFmt w:val="decimal"/>
      <w:start w:val="1"/>
    </w:lvl>
  </w:abstractNum>
  <w:abstractNum w:abstractNumId="113">
    <w:nsid w:val="2708C9AF"/>
    <w:multiLevelType w:val="hybridMultilevel"/>
    <w:lvl w:ilvl="0">
      <w:lvlJc w:val="left"/>
      <w:lvlText w:val="(%1)"/>
      <w:numFmt w:val="decimal"/>
      <w:start w:val="1"/>
    </w:lvl>
  </w:abstractNum>
  <w:abstractNum w:abstractNumId="114">
    <w:nsid w:val="5B25ACE2"/>
    <w:multiLevelType w:val="hybridMultilevel"/>
    <w:lvl w:ilvl="0">
      <w:lvlJc w:val="left"/>
      <w:lvlText w:val="(%1)"/>
      <w:numFmt w:val="decimal"/>
      <w:start w:val="1"/>
    </w:lvl>
  </w:abstractNum>
  <w:abstractNum w:abstractNumId="115">
    <w:nsid w:val="175DFCF0"/>
    <w:multiLevelType w:val="hybridMultilevel"/>
    <w:lvl w:ilvl="0">
      <w:lvlJc w:val="left"/>
      <w:lvlText w:val="(%1)"/>
      <w:numFmt w:val="lowerLetter"/>
      <w:start w:val="1"/>
    </w:lvl>
  </w:abstractNum>
  <w:abstractNum w:abstractNumId="116">
    <w:nsid w:val="4F97E3E4"/>
    <w:multiLevelType w:val="hybridMultilevel"/>
    <w:lvl w:ilvl="0">
      <w:lvlJc w:val="left"/>
      <w:lvlText w:val="(%1)"/>
      <w:numFmt w:val="lowerLetter"/>
      <w:start w:val="2"/>
    </w:lvl>
  </w:abstractNum>
  <w:abstractNum w:abstractNumId="117">
    <w:nsid w:val="53B0A9E"/>
    <w:multiLevelType w:val="hybridMultilevel"/>
    <w:lvl w:ilvl="0">
      <w:lvlJc w:val="left"/>
      <w:lvlText w:val="(%1)"/>
      <w:numFmt w:val="lowerLetter"/>
      <w:start w:val="3"/>
    </w:lvl>
  </w:abstractNum>
  <w:abstractNum w:abstractNumId="118">
    <w:nsid w:val="34FD6B4F"/>
    <w:multiLevelType w:val="hybridMultilevel"/>
    <w:lvl w:ilvl="0">
      <w:lvlJc w:val="left"/>
      <w:lvlText w:val="(%1)"/>
      <w:numFmt w:val="decimal"/>
      <w:start w:val="2"/>
    </w:lvl>
  </w:abstractNum>
  <w:abstractNum w:abstractNumId="119">
    <w:nsid w:val="5915FF32"/>
    <w:multiLevelType w:val="hybridMultilevel"/>
    <w:lvl w:ilvl="0">
      <w:lvlJc w:val="left"/>
      <w:lvlText w:val="(%1)"/>
      <w:numFmt w:val="decimal"/>
      <w:start w:val="4"/>
    </w:lvl>
  </w:abstractNum>
  <w:abstractNum w:abstractNumId="120">
    <w:nsid w:val="56438D15"/>
    <w:multiLevelType w:val="hybridMultilevel"/>
    <w:lvl w:ilvl="0">
      <w:lvlJc w:val="left"/>
      <w:lvlText w:val="(%1)"/>
      <w:numFmt w:val="decimal"/>
      <w:start w:val="5"/>
    </w:lvl>
  </w:abstractNum>
  <w:abstractNum w:abstractNumId="121">
    <w:nsid w:val="519E3149"/>
    <w:multiLevelType w:val="hybridMultilevel"/>
    <w:lvl w:ilvl="0">
      <w:lvlJc w:val="left"/>
      <w:lvlText w:val="(%1)"/>
      <w:numFmt w:val="lowerLetter"/>
      <w:start w:val="1"/>
    </w:lvl>
  </w:abstractNum>
  <w:abstractNum w:abstractNumId="122">
    <w:nsid w:val="2C6E4AFD"/>
    <w:multiLevelType w:val="hybridMultilevel"/>
    <w:lvl w:ilvl="0">
      <w:lvlJc w:val="left"/>
      <w:lvlText w:val="(%1)"/>
      <w:numFmt w:val="decimal"/>
      <w:start w:val="7"/>
    </w:lvl>
  </w:abstractNum>
  <w:abstractNum w:abstractNumId="123">
    <w:nsid w:val="17A1B582"/>
    <w:multiLevelType w:val="hybridMultilevel"/>
    <w:lvl w:ilvl="0">
      <w:lvlJc w:val="left"/>
      <w:lvlText w:val="(%1)"/>
      <w:numFmt w:val="decimal"/>
      <w:start w:val="9"/>
    </w:lvl>
  </w:abstractNum>
  <w:abstractNum w:abstractNumId="124">
    <w:nsid w:val="4DF72E4E"/>
    <w:multiLevelType w:val="hybridMultilevel"/>
    <w:lvl w:ilvl="0">
      <w:lvlJc w:val="left"/>
      <w:lvlText w:val="(%1)"/>
      <w:numFmt w:val="decimal"/>
      <w:start w:val="11"/>
    </w:lvl>
  </w:abstractNum>
  <w:abstractNum w:abstractNumId="125">
    <w:nsid w:val="5046B5A9"/>
    <w:multiLevelType w:val="hybridMultilevel"/>
    <w:lvl w:ilvl="0">
      <w:lvlJc w:val="left"/>
      <w:lvlText w:val="(%1)"/>
      <w:numFmt w:val="decimal"/>
      <w:start w:val="1"/>
    </w:lvl>
  </w:abstractNum>
  <w:abstractNum w:abstractNumId="126">
    <w:nsid w:val="5D888A08"/>
    <w:multiLevelType w:val="hybridMultilevel"/>
    <w:lvl w:ilvl="0">
      <w:lvlJc w:val="left"/>
      <w:lvlText w:val="(%1)"/>
      <w:numFmt w:val="decimal"/>
      <w:start w:val="1"/>
    </w:lvl>
  </w:abstractNum>
  <w:abstractNum w:abstractNumId="127">
    <w:nsid w:val="2A082C70"/>
    <w:multiLevelType w:val="hybridMultilevel"/>
    <w:lvl w:ilvl="0">
      <w:lvlJc w:val="left"/>
      <w:lvlText w:val="(%1)"/>
      <w:numFmt w:val="decimal"/>
      <w:start w:val="13"/>
    </w:lvl>
  </w:abstractNum>
  <w:abstractNum w:abstractNumId="128">
    <w:nsid w:val="5EC6AFD4"/>
    <w:multiLevelType w:val="hybridMultilevel"/>
    <w:lvl w:ilvl="0">
      <w:lvlJc w:val="left"/>
      <w:lvlText w:val="%1)"/>
      <w:numFmt w:val="decimal"/>
      <w:start w:val="1"/>
    </w:lvl>
  </w:abstractNum>
  <w:abstractNum w:abstractNumId="129">
    <w:nsid w:val="19E21B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2026-06-22T07:18:55Z</dcterms:created>
  <dcterms:modified xsi:type="dcterms:W3CDTF">2026-06-22T07:18:55Z</dcterms:modified>
</cp:coreProperties>
</file>