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Date of Report (Date of earliest event reported): May 19, 2026</w:t>
      </w:r>
    </w:p>
    <w:p>
      <w:pPr>
        <w:spacing w:after="0" w:line="10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THE MIDDLEBY CORPORATION</w:t>
      </w:r>
    </w:p>
    <w:p>
      <w:pPr>
        <w:spacing w:after="0" w:line="1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51" w:lineRule="exact"/>
        <w:rPr>
          <w:sz w:val="24"/>
          <w:szCs w:val="24"/>
          <w:color w:val="auto"/>
        </w:rPr>
      </w:pPr>
    </w:p>
    <w:tbl>
      <w:tblPr>
        <w:tblLayout w:type="fixed"/>
        <w:tblInd w:w="18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36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001-9973</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36-3352497</w:t>
            </w:r>
          </w:p>
        </w:tc>
      </w:tr>
      <w:tr>
        <w:trPr>
          <w:trHeight w:val="20"/>
        </w:trPr>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940" w:type="dxa"/>
            <w:vAlign w:val="bottom"/>
            <w:gridSpan w:val="4"/>
          </w:tcPr>
          <w:p>
            <w:pPr>
              <w:jc w:val="center"/>
              <w:spacing w:after="0" w:line="183"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120" w:type="dxa"/>
            <w:vAlign w:val="bottom"/>
            <w:gridSpan w:val="8"/>
          </w:tcPr>
          <w:p>
            <w:pPr>
              <w:jc w:val="center"/>
              <w:ind w:left="536"/>
              <w:spacing w:after="0" w:line="183" w:lineRule="exact"/>
              <w:rPr>
                <w:sz w:val="20"/>
                <w:szCs w:val="20"/>
                <w:color w:val="auto"/>
              </w:rPr>
            </w:pPr>
            <w:r>
              <w:rPr>
                <w:rFonts w:ascii="Times New Roman" w:cs="Times New Roman" w:eastAsia="Times New Roman" w:hAnsi="Times New Roman"/>
                <w:sz w:val="16"/>
                <w:szCs w:val="16"/>
                <w:color w:val="auto"/>
              </w:rPr>
              <w:t>(Commission File Number)</w:t>
            </w:r>
          </w:p>
        </w:tc>
        <w:tc>
          <w:tcPr>
            <w:tcW w:w="340" w:type="dxa"/>
            <w:vAlign w:val="bottom"/>
          </w:tcPr>
          <w:p>
            <w:pPr>
              <w:spacing w:after="0"/>
              <w:rPr>
                <w:sz w:val="15"/>
                <w:szCs w:val="15"/>
                <w:color w:val="auto"/>
              </w:rPr>
            </w:pPr>
          </w:p>
        </w:tc>
        <w:tc>
          <w:tcPr>
            <w:tcW w:w="2560" w:type="dxa"/>
            <w:vAlign w:val="bottom"/>
            <w:gridSpan w:val="4"/>
          </w:tcPr>
          <w:p>
            <w:pPr>
              <w:jc w:val="center"/>
              <w:spacing w:after="0" w:line="183" w:lineRule="exact"/>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10"/>
        </w:trPr>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incorporation)</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05"/>
        </w:trPr>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1400 Toastmaster Drive,  Elgin,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60120</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90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8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(847) 741-3300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0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7"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60" w:firstLine="8"/>
        <w:spacing w:after="0" w:line="39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160" w:type="dxa"/>
        <w:tblCellMar>
          <w:top w:w="0" w:type="dxa"/>
          <w:left w:w="0" w:type="dxa"/>
          <w:bottom w:w="0" w:type="dxa"/>
          <w:right w:w="0" w:type="dxa"/>
        </w:tblCellMar>
      </w:tblPr>
      <w:tr>
        <w:trPr>
          <w:trHeight w:val="199"/>
        </w:trPr>
        <w:tc>
          <w:tcPr>
            <w:tcW w:w="14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300" w:type="dxa"/>
            <w:vAlign w:val="bottom"/>
          </w:tcPr>
          <w:p>
            <w:pPr>
              <w:spacing w:after="0"/>
              <w:rPr>
                <w:sz w:val="17"/>
                <w:szCs w:val="17"/>
                <w:color w:val="auto"/>
              </w:rPr>
            </w:pPr>
          </w:p>
        </w:tc>
        <w:tc>
          <w:tcPr>
            <w:tcW w:w="2700" w:type="dxa"/>
            <w:vAlign w:val="bottom"/>
            <w:gridSpan w:val="2"/>
          </w:tcPr>
          <w:p>
            <w:pPr>
              <w:jc w:val="center"/>
              <w:ind w:right="12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MIDD</w:t>
            </w:r>
          </w:p>
        </w:tc>
        <w:tc>
          <w:tcPr>
            <w:tcW w:w="1280" w:type="dxa"/>
            <w:vAlign w:val="bottom"/>
          </w:tcPr>
          <w:p>
            <w:pPr>
              <w:spacing w:after="0"/>
              <w:rPr>
                <w:sz w:val="21"/>
                <w:szCs w:val="21"/>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8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7" w:right="459" w:bottom="1440" w:gutter="0" w:footer="0" w:header="0"/>
        </w:sectPr>
      </w:pPr>
    </w:p>
    <w:bookmarkStart w:id="1" w:name="page2"/>
    <w:bookmarkEnd w:id="1"/>
    <w:p>
      <w:pPr>
        <w:ind w:left="20"/>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20"/>
          <w:szCs w:val="20"/>
          <w:b w:val="1"/>
          <w:bCs w:val="1"/>
          <w:color w:val="auto"/>
        </w:rPr>
        <w:t>Submission of Matters to a Vote of Security Holders.</w:t>
      </w:r>
    </w:p>
    <w:p>
      <w:pPr>
        <w:spacing w:after="0" w:line="10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On May 19, 2026, The Middleby Corporation, a Delaware corporation (the “Company”), held its 2026 Annual Meeting of Stockholders (the “Annual Meeting”). There were a total of 46,621,841 outstanding shares of common stock entitled to vote at the Annual Meeting, of which 44,057,414 were present or represented by proxy. At the Annual Meeting, the Company’s stockholders cast their votes as described below. The proposals are described in the definitive proxy statement on Schedule 14A filed by the Company with the U.S. Securities and Exchange Commission on April 8,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ELECTION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one was the election of eleven (11) directors. The shares present were voted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120" w:type="dxa"/>
            <w:vAlign w:val="bottom"/>
          </w:tcPr>
          <w:p>
            <w:pPr>
              <w:spacing w:after="0"/>
              <w:rPr>
                <w:sz w:val="17"/>
                <w:szCs w:val="17"/>
                <w:color w:val="auto"/>
              </w:rPr>
            </w:pPr>
          </w:p>
        </w:tc>
        <w:tc>
          <w:tcPr>
            <w:tcW w:w="1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4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10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Julie M. Bowerman</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41,426,022</w:t>
            </w:r>
          </w:p>
        </w:tc>
        <w:tc>
          <w:tcPr>
            <w:tcW w:w="132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528,622</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17,560</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r>
        <w:trPr>
          <w:trHeight w:val="230"/>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Sarah Palisi Chapin</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39,140,321</w:t>
            </w:r>
          </w:p>
        </w:tc>
        <w:tc>
          <w:tcPr>
            <w:tcW w:w="2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2,821,278</w:t>
            </w: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6"/>
              </w:rPr>
              <w:t>10,605</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tcPr>
          <w:p>
            <w:pPr>
              <w:spacing w:after="0"/>
              <w:rPr>
                <w:sz w:val="19"/>
                <w:szCs w:val="19"/>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A. Eisenberg</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41,603,324</w:t>
            </w:r>
          </w:p>
        </w:tc>
        <w:tc>
          <w:tcPr>
            <w:tcW w:w="132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284,827</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84,053</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r>
        <w:trPr>
          <w:trHeight w:val="229"/>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Timothy J. Fitzgerald</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41,628,896</w:t>
            </w:r>
          </w:p>
        </w:tc>
        <w:tc>
          <w:tcPr>
            <w:tcW w:w="13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331,837</w:t>
            </w:r>
          </w:p>
        </w:tc>
        <w:tc>
          <w:tcPr>
            <w:tcW w:w="780" w:type="dxa"/>
            <w:vAlign w:val="bottom"/>
          </w:tcPr>
          <w:p>
            <w:pPr>
              <w:spacing w:after="0"/>
              <w:rPr>
                <w:sz w:val="19"/>
                <w:szCs w:val="19"/>
                <w:color w:val="auto"/>
              </w:rPr>
            </w:pP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6"/>
              </w:rPr>
              <w:t>11,471</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tcPr>
          <w:p>
            <w:pPr>
              <w:spacing w:after="0"/>
              <w:rPr>
                <w:sz w:val="19"/>
                <w:szCs w:val="19"/>
                <w:color w:val="auto"/>
              </w:rPr>
            </w:pPr>
          </w:p>
        </w:tc>
      </w:tr>
      <w:tr>
        <w:trPr>
          <w:trHeight w:val="23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P. Garden</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41,203,500</w:t>
            </w:r>
          </w:p>
        </w:tc>
        <w:tc>
          <w:tcPr>
            <w:tcW w:w="132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756,157</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12,547</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r>
        <w:trPr>
          <w:trHeight w:val="229"/>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41,741,381</w:t>
            </w:r>
          </w:p>
        </w:tc>
        <w:tc>
          <w:tcPr>
            <w:tcW w:w="13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136,218</w:t>
            </w:r>
          </w:p>
        </w:tc>
        <w:tc>
          <w:tcPr>
            <w:tcW w:w="780" w:type="dxa"/>
            <w:vAlign w:val="bottom"/>
          </w:tcPr>
          <w:p>
            <w:pPr>
              <w:spacing w:after="0"/>
              <w:rPr>
                <w:sz w:val="19"/>
                <w:szCs w:val="19"/>
                <w:color w:val="auto"/>
              </w:rPr>
            </w:pP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6"/>
              </w:rPr>
              <w:t>94,605</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tcPr>
          <w:p>
            <w:pPr>
              <w:spacing w:after="0"/>
              <w:rPr>
                <w:sz w:val="19"/>
                <w:szCs w:val="19"/>
                <w:color w:val="auto"/>
              </w:rPr>
            </w:pPr>
          </w:p>
        </w:tc>
      </w:tr>
      <w:tr>
        <w:trPr>
          <w:trHeight w:val="230"/>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Cathy L. McCarthy</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41,420,969</w:t>
            </w:r>
          </w:p>
        </w:tc>
        <w:tc>
          <w:tcPr>
            <w:tcW w:w="132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530,061</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21,174</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r>
        <w:trPr>
          <w:trHeight w:val="229"/>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Robert A. Nerbonne</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41,233,561</w:t>
            </w:r>
          </w:p>
        </w:tc>
        <w:tc>
          <w:tcPr>
            <w:tcW w:w="13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687,030</w:t>
            </w:r>
          </w:p>
        </w:tc>
        <w:tc>
          <w:tcPr>
            <w:tcW w:w="780" w:type="dxa"/>
            <w:vAlign w:val="bottom"/>
          </w:tcPr>
          <w:p>
            <w:pPr>
              <w:spacing w:after="0"/>
              <w:rPr>
                <w:sz w:val="19"/>
                <w:szCs w:val="19"/>
                <w:color w:val="auto"/>
              </w:rPr>
            </w:pP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6"/>
              </w:rPr>
              <w:t>51,613</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tcPr>
          <w:p>
            <w:pPr>
              <w:spacing w:after="0"/>
              <w:rPr>
                <w:sz w:val="19"/>
                <w:szCs w:val="19"/>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Gordon J. O'Brien</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38,036,569</w:t>
            </w:r>
          </w:p>
        </w:tc>
        <w:tc>
          <w:tcPr>
            <w:tcW w:w="210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3,925,250</w:t>
            </w: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10,385</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r>
        <w:trPr>
          <w:trHeight w:val="230"/>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Stephen R. Scherger</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41,225,965</w:t>
            </w:r>
          </w:p>
        </w:tc>
        <w:tc>
          <w:tcPr>
            <w:tcW w:w="13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694,794</w:t>
            </w:r>
          </w:p>
        </w:tc>
        <w:tc>
          <w:tcPr>
            <w:tcW w:w="780" w:type="dxa"/>
            <w:vAlign w:val="bottom"/>
          </w:tcPr>
          <w:p>
            <w:pPr>
              <w:spacing w:after="0"/>
              <w:rPr>
                <w:sz w:val="19"/>
                <w:szCs w:val="19"/>
                <w:color w:val="auto"/>
              </w:rPr>
            </w:pPr>
          </w:p>
        </w:tc>
        <w:tc>
          <w:tcPr>
            <w:tcW w:w="13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6"/>
              </w:rPr>
              <w:t>51,445</w:t>
            </w:r>
          </w:p>
        </w:tc>
        <w:tc>
          <w:tcPr>
            <w:tcW w:w="248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tcPr>
          <w:p>
            <w:pPr>
              <w:spacing w:after="0"/>
              <w:rPr>
                <w:sz w:val="19"/>
                <w:szCs w:val="19"/>
                <w:color w:val="auto"/>
              </w:rPr>
            </w:pPr>
          </w:p>
        </w:tc>
      </w:tr>
      <w:tr>
        <w:trPr>
          <w:trHeight w:val="229"/>
        </w:trPr>
        <w:tc>
          <w:tcPr>
            <w:tcW w:w="2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Tejas P. Shah</w:t>
            </w:r>
          </w:p>
        </w:tc>
        <w:tc>
          <w:tcPr>
            <w:tcW w:w="232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41,547,593</w:t>
            </w:r>
          </w:p>
        </w:tc>
        <w:tc>
          <w:tcPr>
            <w:tcW w:w="132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374,428</w:t>
            </w: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50,183</w:t>
            </w:r>
          </w:p>
        </w:tc>
        <w:tc>
          <w:tcPr>
            <w:tcW w:w="2480" w:type="dxa"/>
            <w:vAlign w:val="bottom"/>
            <w:gridSpan w:val="2"/>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2,085,210</w:t>
            </w:r>
          </w:p>
        </w:tc>
        <w:tc>
          <w:tcPr>
            <w:tcW w:w="36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8"/>
          <w:szCs w:val="18"/>
          <w:color w:val="auto"/>
        </w:rPr>
        <w:t>Pursuant to the foregoing votes, all eleven nominees listed above were elected to the Company’s Board of Directors to serve until the Company’s 2027 Annual Meeting of Stockholders and until their successors shall be duly elected and qualified or until their earlier death, resignation or removal</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ADVISORY VOTE ON EXECUTIVE COMPENSATION</w:t>
      </w:r>
    </w:p>
    <w:p>
      <w:pPr>
        <w:spacing w:after="0" w:line="21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Proposal two was the approval, on an advisory basis, of the compensation of the Company’s named executive officers. The shares present were voted as follows:</w:t>
      </w:r>
    </w:p>
    <w:tbl>
      <w:tblPr>
        <w:tblLayout w:type="fixed"/>
        <w:tblInd w:w="0" w:type="dxa"/>
        <w:tblCellMar>
          <w:top w:w="0" w:type="dxa"/>
          <w:left w:w="0" w:type="dxa"/>
          <w:bottom w:w="0" w:type="dxa"/>
          <w:right w:w="0" w:type="dxa"/>
        </w:tblCellMar>
      </w:tblPr>
      <w:tr>
        <w:trPr>
          <w:trHeight w:val="199"/>
        </w:trPr>
        <w:tc>
          <w:tcPr>
            <w:tcW w:w="1280" w:type="dxa"/>
            <w:vAlign w:val="bottom"/>
          </w:tcPr>
          <w:p>
            <w:pPr>
              <w:spacing w:after="0"/>
              <w:rPr>
                <w:sz w:val="17"/>
                <w:szCs w:val="17"/>
                <w:color w:val="auto"/>
              </w:rPr>
            </w:pPr>
          </w:p>
        </w:tc>
        <w:tc>
          <w:tcPr>
            <w:tcW w:w="2640" w:type="dxa"/>
            <w:vAlign w:val="bottom"/>
            <w:gridSpan w:val="2"/>
          </w:tcPr>
          <w:p>
            <w:pPr>
              <w:jc w:val="center"/>
              <w:ind w:right="2360"/>
              <w:spacing w:after="0" w:line="199"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Against</w:t>
            </w:r>
          </w:p>
        </w:tc>
        <w:tc>
          <w:tcPr>
            <w:tcW w:w="3520" w:type="dxa"/>
            <w:vAlign w:val="bottom"/>
            <w:gridSpan w:val="3"/>
          </w:tcPr>
          <w:p>
            <w:pPr>
              <w:jc w:val="center"/>
              <w:ind w:right="720"/>
              <w:spacing w:after="0" w:line="199" w:lineRule="exact"/>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gridSpan w:val="2"/>
          </w:tcPr>
          <w:p>
            <w:pPr>
              <w:jc w:val="center"/>
              <w:ind w:right="7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3920" w:type="dxa"/>
            <w:vAlign w:val="bottom"/>
            <w:gridSpan w:val="3"/>
            <w:shd w:val="clear" w:color="auto" w:fill="CCEEFF"/>
          </w:tcPr>
          <w:p>
            <w:pPr>
              <w:jc w:val="right"/>
              <w:ind w:right="2100"/>
              <w:spacing w:after="0"/>
              <w:rPr>
                <w:sz w:val="20"/>
                <w:szCs w:val="20"/>
                <w:color w:val="auto"/>
              </w:rPr>
            </w:pPr>
            <w:r>
              <w:rPr>
                <w:rFonts w:ascii="Times New Roman" w:cs="Times New Roman" w:eastAsia="Times New Roman" w:hAnsi="Times New Roman"/>
                <w:sz w:val="18"/>
                <w:szCs w:val="18"/>
                <w:color w:val="auto"/>
              </w:rPr>
              <w:t>40,916,800</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982,309</w:t>
            </w:r>
          </w:p>
        </w:tc>
        <w:tc>
          <w:tcPr>
            <w:tcW w:w="1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73,095</w:t>
            </w:r>
          </w:p>
        </w:tc>
        <w:tc>
          <w:tcPr>
            <w:tcW w:w="1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2,085,210</w:t>
            </w:r>
          </w:p>
        </w:tc>
        <w:tc>
          <w:tcPr>
            <w:tcW w:w="72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foregoing votes, proposal two was approved on an advisory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RATIFICATION OF INDEPENDENT PUBLIC ACCOUNTANTS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three was the ratification of the selection of Ernst &amp; Young LLP as the Company’s independent public accountants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2027. The shares present were voted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56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tcPr>
          <w:p>
            <w:pPr>
              <w:spacing w:after="0"/>
              <w:rPr>
                <w:sz w:val="18"/>
                <w:szCs w:val="18"/>
                <w:color w:val="auto"/>
              </w:rPr>
            </w:pPr>
          </w:p>
        </w:tc>
        <w:tc>
          <w:tcPr>
            <w:tcW w:w="1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8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42,891,095</w:t>
            </w:r>
          </w:p>
        </w:tc>
        <w:tc>
          <w:tcPr>
            <w:tcW w:w="28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1,071,172</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95,147</w:t>
            </w:r>
          </w:p>
        </w:tc>
        <w:tc>
          <w:tcPr>
            <w:tcW w:w="18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foregoing votes, proposal three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320" w:lineRule="exact"/>
        <w:rPr>
          <w:sz w:val="20"/>
          <w:szCs w:val="20"/>
          <w:color w:val="auto"/>
        </w:rPr>
      </w:pPr>
    </w:p>
    <w:p>
      <w:pPr>
        <w:ind w:left="20"/>
        <w:spacing w:after="0"/>
        <w:tabs>
          <w:tab w:leader="none" w:pos="820" w:val="left"/>
          <w:tab w:leader="none" w:pos="5860" w:val="left"/>
          <w:tab w:leader="none" w:pos="6440" w:val="left"/>
        </w:tabs>
        <w:rPr>
          <w:sz w:val="20"/>
          <w:szCs w:val="20"/>
          <w:color w:val="auto"/>
        </w:rPr>
      </w:pPr>
      <w:r>
        <w:rPr>
          <w:rFonts w:ascii="Times New Roman" w:cs="Times New Roman" w:eastAsia="Times New Roman" w:hAnsi="Times New Roman"/>
          <w:sz w:val="20"/>
          <w:szCs w:val="20"/>
          <w:color w:val="auto"/>
        </w:rPr>
        <w:t>Dated:</w:t>
        <w:tab/>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9"/>
          <w:szCs w:val="19"/>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28575</wp:posOffset>
            </wp:positionV>
            <wp:extent cx="3042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Brittany C. Cerwin</w:t>
      </w:r>
    </w:p>
    <w:p>
      <w:pPr>
        <w:spacing w:after="0" w:line="4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00"/>
      </w:cols>
      <w:pgMar w:left="320" w:top="104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2026-05-21T15:33:52Z</dcterms:created>
  <dcterms:modified xsi:type="dcterms:W3CDTF">2026-05-21T15:33:52Z</dcterms:modified>
</cp:coreProperties>
</file>