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79"/>
        <w:spacing w:after="0" w:line="222"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32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18"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5"/>
          <w:szCs w:val="25"/>
          <w:b w:val="1"/>
          <w:bCs w:val="1"/>
          <w:color w:val="auto"/>
        </w:rPr>
        <w:t>_____________________________</w:t>
      </w:r>
    </w:p>
    <w:p>
      <w:pPr>
        <w:spacing w:after="0" w:line="12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9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Date of Report (Date of earliest event reported): November 5, 2026</w:t>
      </w:r>
    </w:p>
    <w:p>
      <w:pPr>
        <w:spacing w:after="0" w:line="200" w:lineRule="exact"/>
        <w:rPr>
          <w:sz w:val="24"/>
          <w:szCs w:val="24"/>
          <w:color w:val="auto"/>
        </w:rPr>
      </w:pPr>
    </w:p>
    <w:p>
      <w:pPr>
        <w:spacing w:after="0" w:line="2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THE MIDDLEBY CORPORATION</w:t>
      </w:r>
    </w:p>
    <w:p>
      <w:pPr>
        <w:spacing w:after="0" w:line="14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1"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color w:val="auto"/>
        </w:rPr>
        <w:t>_____________________________</w:t>
      </w:r>
    </w:p>
    <w:p>
      <w:pPr>
        <w:spacing w:after="0" w:line="161" w:lineRule="exact"/>
        <w:rPr>
          <w:sz w:val="24"/>
          <w:szCs w:val="24"/>
          <w:color w:val="auto"/>
        </w:rPr>
      </w:pPr>
    </w:p>
    <w:tbl>
      <w:tblPr>
        <w:tblLayout w:type="fixed"/>
        <w:tblInd w:w="1380" w:type="dxa"/>
        <w:tblCellMar>
          <w:top w:w="0" w:type="dxa"/>
          <w:left w:w="0" w:type="dxa"/>
          <w:bottom w:w="0" w:type="dxa"/>
          <w:right w:w="0" w:type="dxa"/>
        </w:tblCellMar>
      </w:tblPr>
      <w:tr>
        <w:trPr>
          <w:trHeight w:val="207"/>
        </w:trPr>
        <w:tc>
          <w:tcPr>
            <w:tcW w:w="134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620" w:type="dxa"/>
            <w:vAlign w:val="bottom"/>
          </w:tcPr>
          <w:p>
            <w:pPr>
              <w:spacing w:after="0"/>
              <w:rPr>
                <w:sz w:val="17"/>
                <w:szCs w:val="17"/>
                <w:color w:val="auto"/>
              </w:rPr>
            </w:pPr>
          </w:p>
        </w:tc>
        <w:tc>
          <w:tcPr>
            <w:tcW w:w="218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001-9973</w:t>
            </w:r>
          </w:p>
        </w:tc>
        <w:tc>
          <w:tcPr>
            <w:tcW w:w="254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36-3352497</w:t>
            </w:r>
          </w:p>
        </w:tc>
      </w:tr>
      <w:tr>
        <w:trPr>
          <w:trHeight w:val="20"/>
        </w:trPr>
        <w:tc>
          <w:tcPr>
            <w:tcW w:w="1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75"/>
        </w:trPr>
        <w:tc>
          <w:tcPr>
            <w:tcW w:w="37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1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(Commission File Number)</w:t>
            </w:r>
          </w:p>
        </w:tc>
        <w:tc>
          <w:tcPr>
            <w:tcW w:w="2540" w:type="dxa"/>
            <w:vAlign w:val="bottom"/>
            <w:gridSpan w:val="3"/>
          </w:tcPr>
          <w:p>
            <w:pPr>
              <w:jc w:val="center"/>
              <w:ind w:left="219"/>
              <w:spacing w:after="0"/>
              <w:rPr>
                <w:sz w:val="20"/>
                <w:szCs w:val="20"/>
                <w:color w:val="auto"/>
              </w:rPr>
            </w:pPr>
            <w:r>
              <w:rPr>
                <w:rFonts w:ascii="Times New Roman" w:cs="Times New Roman" w:eastAsia="Times New Roman" w:hAnsi="Times New Roman"/>
                <w:sz w:val="14"/>
                <w:szCs w:val="14"/>
                <w:color w:val="auto"/>
              </w:rPr>
              <w:t>(IRS Employer Identification Number)</w:t>
            </w:r>
          </w:p>
        </w:tc>
      </w:tr>
    </w:tbl>
    <w:p>
      <w:pPr>
        <w:spacing w:after="0" w:line="216" w:lineRule="exact"/>
        <w:rPr>
          <w:sz w:val="24"/>
          <w:szCs w:val="24"/>
          <w:color w:val="auto"/>
        </w:rPr>
      </w:pPr>
    </w:p>
    <w:tbl>
      <w:tblPr>
        <w:tblLayout w:type="fixed"/>
        <w:tblInd w:w="2400" w:type="dxa"/>
        <w:tblCellMar>
          <w:top w:w="0" w:type="dxa"/>
          <w:left w:w="0" w:type="dxa"/>
          <w:bottom w:w="0" w:type="dxa"/>
          <w:right w:w="0" w:type="dxa"/>
        </w:tblCellMar>
      </w:tblPr>
      <w:tr>
        <w:trPr>
          <w:trHeight w:val="253"/>
        </w:trPr>
        <w:tc>
          <w:tcPr>
            <w:tcW w:w="22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w w:val="96"/>
              </w:rPr>
              <w:t>1400 Toastmaster Drive,</w:t>
            </w:r>
          </w:p>
        </w:tc>
        <w:tc>
          <w:tcPr>
            <w:tcW w:w="90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Elgin,</w:t>
            </w:r>
          </w:p>
        </w:tc>
        <w:tc>
          <w:tcPr>
            <w:tcW w:w="68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Illinois</w:t>
            </w:r>
          </w:p>
        </w:tc>
        <w:tc>
          <w:tcPr>
            <w:tcW w:w="1380" w:type="dxa"/>
            <w:vAlign w:val="bottom"/>
            <w:gridSpan w:val="5"/>
          </w:tcPr>
          <w:p>
            <w:pPr>
              <w:jc w:val="right"/>
              <w:ind w:right="120"/>
              <w:spacing w:after="0"/>
              <w:rPr>
                <w:sz w:val="20"/>
                <w:szCs w:val="20"/>
                <w:color w:val="auto"/>
              </w:rPr>
            </w:pPr>
            <w:r>
              <w:rPr>
                <w:rFonts w:ascii="Times New Roman" w:cs="Times New Roman" w:eastAsia="Times New Roman" w:hAnsi="Times New Roman"/>
                <w:sz w:val="22"/>
                <w:szCs w:val="22"/>
                <w:b w:val="1"/>
                <w:bCs w:val="1"/>
                <w:color w:val="auto"/>
              </w:rPr>
              <w:t>60120</w:t>
            </w:r>
          </w:p>
        </w:tc>
      </w:tr>
      <w:tr>
        <w:trPr>
          <w:trHeight w:val="20"/>
        </w:trPr>
        <w:tc>
          <w:tcPr>
            <w:tcW w:w="22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0"/>
        </w:trPr>
        <w:tc>
          <w:tcPr>
            <w:tcW w:w="4240" w:type="dxa"/>
            <w:vAlign w:val="bottom"/>
            <w:gridSpan w:val="4"/>
          </w:tcPr>
          <w:p>
            <w:pPr>
              <w:ind w:left="124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gridSpan w:val="4"/>
          </w:tcPr>
          <w:p>
            <w:pPr>
              <w:jc w:val="center"/>
              <w:ind w:left="450"/>
              <w:spacing w:after="0"/>
              <w:rPr>
                <w:sz w:val="20"/>
                <w:szCs w:val="20"/>
                <w:color w:val="auto"/>
              </w:rPr>
            </w:pPr>
            <w:r>
              <w:rPr>
                <w:rFonts w:ascii="Times New Roman" w:cs="Times New Roman" w:eastAsia="Times New Roman" w:hAnsi="Times New Roman"/>
                <w:sz w:val="18"/>
                <w:szCs w:val="18"/>
                <w:color w:val="auto"/>
              </w:rPr>
              <w:t>(Zip Code)</w:t>
            </w:r>
          </w:p>
        </w:tc>
      </w:tr>
      <w:tr>
        <w:trPr>
          <w:trHeight w:val="432"/>
        </w:trPr>
        <w:tc>
          <w:tcPr>
            <w:tcW w:w="4240" w:type="dxa"/>
            <w:vAlign w:val="bottom"/>
            <w:gridSpan w:val="4"/>
          </w:tcPr>
          <w:p>
            <w:pPr>
              <w:ind w:left="32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(847)</w:t>
            </w:r>
          </w:p>
        </w:tc>
        <w:tc>
          <w:tcPr>
            <w:tcW w:w="100" w:type="dxa"/>
            <w:vAlign w:val="bottom"/>
          </w:tcPr>
          <w:p>
            <w:pPr>
              <w:spacing w:after="0"/>
              <w:rPr>
                <w:sz w:val="24"/>
                <w:szCs w:val="24"/>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741-3300</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2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8"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226"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3"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4" w:lineRule="exact"/>
        <w:rPr>
          <w:sz w:val="24"/>
          <w:szCs w:val="24"/>
          <w:color w:val="auto"/>
        </w:rPr>
      </w:pPr>
    </w:p>
    <w:tbl>
      <w:tblPr>
        <w:tblLayout w:type="fixed"/>
        <w:tblInd w:w="1700" w:type="dxa"/>
        <w:tblCellMar>
          <w:top w:w="0" w:type="dxa"/>
          <w:left w:w="0" w:type="dxa"/>
          <w:bottom w:w="0" w:type="dxa"/>
          <w:right w:w="0" w:type="dxa"/>
        </w:tblCellMar>
      </w:tblPr>
      <w:tr>
        <w:trPr>
          <w:trHeight w:val="238"/>
        </w:trPr>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7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24"/>
        </w:trPr>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84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7"/>
        </w:trPr>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MIDD</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306" w:lineRule="exact"/>
        <w:rPr>
          <w:sz w:val="24"/>
          <w:szCs w:val="24"/>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2" w:lineRule="exact"/>
        <w:rPr>
          <w:sz w:val="24"/>
          <w:szCs w:val="24"/>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24" w:right="499" w:bottom="1440" w:gutter="0" w:footer="0" w:header="0"/>
        </w:sectPr>
      </w:pPr>
    </w:p>
    <w:bookmarkStart w:id="1" w:name="page2"/>
    <w:bookmarkEnd w:id="1"/>
    <w:p>
      <w:pPr>
        <w:ind w:left="20"/>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On November 5, 2026, The Middleby Corporation (the “Company”) issued a press release announcing its financial results for the third quarter ended October 3, 2026. A copy of that press release is furnished as Exhibit 99.1 and incorporated herein by reference.</w:t>
      </w:r>
    </w:p>
    <w:p>
      <w:pPr>
        <w:spacing w:after="0" w:line="189" w:lineRule="exact"/>
        <w:rPr>
          <w:sz w:val="20"/>
          <w:szCs w:val="20"/>
          <w:color w:val="auto"/>
        </w:rPr>
      </w:pPr>
    </w:p>
    <w:p>
      <w:pPr>
        <w:ind w:right="160" w:firstLine="441"/>
        <w:spacing w:after="0"/>
        <w:rPr>
          <w:sz w:val="20"/>
          <w:szCs w:val="20"/>
          <w:color w:val="auto"/>
        </w:rPr>
      </w:pPr>
      <w:r>
        <w:rPr>
          <w:rFonts w:ascii="Times New Roman" w:cs="Times New Roman" w:eastAsia="Times New Roman" w:hAnsi="Times New Roman"/>
          <w:sz w:val="18"/>
          <w:szCs w:val="18"/>
          <w:color w:val="auto"/>
        </w:rPr>
        <w:t>The information furnished pursuant to Item 2.02 of this Current Report on Form 8-K (including the exhibit hereto) shall not be considered “filed” under the Securities Exchange Act of 1934, as amended, nor shall it be incorporated by reference into future filings by the Company under the Securities Act of 1933, as amended, or under the Securities Exchange Act of 1934, as amended, unless the Company expressly sets forth in such future filing that such information is to be considered “filed” or incorporated by reference therein.</w:t>
      </w:r>
    </w:p>
    <w:p>
      <w:pPr>
        <w:spacing w:after="0" w:line="262" w:lineRule="exact"/>
        <w:rPr>
          <w:sz w:val="20"/>
          <w:szCs w:val="20"/>
          <w:color w:val="auto"/>
        </w:rPr>
      </w:pPr>
    </w:p>
    <w:p>
      <w:pPr>
        <w:ind w:left="20"/>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75" w:lineRule="exact"/>
        <w:rPr>
          <w:sz w:val="20"/>
          <w:szCs w:val="20"/>
          <w:color w:val="auto"/>
        </w:rPr>
      </w:pPr>
    </w:p>
    <w:p>
      <w:pPr>
        <w:ind w:left="640" w:hanging="533"/>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67" w:lineRule="exact"/>
        <w:rPr>
          <w:sz w:val="20"/>
          <w:szCs w:val="20"/>
          <w:color w:val="auto"/>
        </w:rPr>
      </w:pPr>
    </w:p>
    <w:p>
      <w:pPr>
        <w:ind w:left="20"/>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121" w:lineRule="exact"/>
        <w:rPr>
          <w:sz w:val="20"/>
          <w:szCs w:val="20"/>
          <w:color w:val="auto"/>
        </w:rPr>
      </w:pPr>
    </w:p>
    <w:p>
      <w:pPr>
        <w:ind w:left="20"/>
        <w:spacing w:after="0"/>
        <w:tabs>
          <w:tab w:leader="none" w:pos="146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8"/>
          <w:szCs w:val="18"/>
          <w:u w:val="single" w:color="auto"/>
          <w:color w:val="0000FF"/>
        </w:rPr>
        <w:t>Press Release of Financial Results for the Third Quarter 2026</w:t>
      </w:r>
    </w:p>
    <w:p>
      <w:pPr>
        <w:spacing w:after="0" w:line="27" w:lineRule="exact"/>
        <w:rPr>
          <w:sz w:val="20"/>
          <w:szCs w:val="20"/>
          <w:color w:val="auto"/>
        </w:rPr>
      </w:pPr>
    </w:p>
    <w:p>
      <w:pPr>
        <w:ind w:left="20"/>
        <w:spacing w:after="0"/>
        <w:tabs>
          <w:tab w:leader="none" w:pos="1460" w:val="left"/>
        </w:tabs>
        <w:rPr>
          <w:sz w:val="20"/>
          <w:szCs w:val="20"/>
          <w:color w:val="auto"/>
        </w:rPr>
      </w:pPr>
      <w:r>
        <w:rPr>
          <w:rFonts w:ascii="Times New Roman" w:cs="Times New Roman" w:eastAsia="Times New Roman" w:hAnsi="Times New Roman"/>
          <w:sz w:val="18"/>
          <w:szCs w:val="18"/>
          <w:color w:val="auto"/>
        </w:rPr>
        <w:t>Exhibit 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31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THE MIDDLEBY CORPORATION</w:t>
      </w:r>
    </w:p>
    <w:p>
      <w:pPr>
        <w:spacing w:after="0" w:line="320" w:lineRule="exact"/>
        <w:rPr>
          <w:sz w:val="20"/>
          <w:szCs w:val="20"/>
          <w:color w:val="auto"/>
        </w:rPr>
      </w:pPr>
    </w:p>
    <w:p>
      <w:pPr>
        <w:ind w:left="20"/>
        <w:spacing w:after="0"/>
        <w:tabs>
          <w:tab w:leader="none" w:pos="700" w:val="left"/>
          <w:tab w:leader="none" w:pos="6160" w:val="left"/>
          <w:tab w:leader="none" w:pos="6760" w:val="left"/>
        </w:tabs>
        <w:rPr>
          <w:sz w:val="20"/>
          <w:szCs w:val="20"/>
          <w:color w:val="auto"/>
        </w:rPr>
      </w:pPr>
      <w:r>
        <w:rPr>
          <w:rFonts w:ascii="Times New Roman" w:cs="Times New Roman" w:eastAsia="Times New Roman" w:hAnsi="Times New Roman"/>
          <w:sz w:val="18"/>
          <w:szCs w:val="18"/>
          <w:color w:val="auto"/>
        </w:rPr>
        <w:t>Dated:</w:t>
        <w:tab/>
        <w:t>November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Brittany C. Cerwin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34290</wp:posOffset>
            </wp:positionV>
            <wp:extent cx="2837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4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Brittany C. Cerwin</w:t>
      </w:r>
    </w:p>
    <w:p>
      <w:pPr>
        <w:spacing w:after="0" w:line="5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160"/>
          </w:cols>
          <w:pgMar w:left="320" w:top="1035" w:right="4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2383155" cy="462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383155" cy="4629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1169035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1400 Toastmaster Drive, Elgin, Illinois 60120 (847) 741-3300 www.middleby.com</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The Middleby Corporation Reports Third Quarter Results</w:t>
      </w:r>
    </w:p>
    <w:p>
      <w:pPr>
        <w:spacing w:after="0" w:line="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Raises Full-Year Guidance</w:t>
      </w:r>
    </w:p>
    <w:p>
      <w:pPr>
        <w:spacing w:after="0" w:line="145" w:lineRule="exact"/>
        <w:rPr>
          <w:sz w:val="20"/>
          <w:szCs w:val="20"/>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Q3 2026 results exceeded high end of guidance range for net sales, Adjusted EBITDA and Adjusted EPS</w:t>
      </w:r>
    </w:p>
    <w:p>
      <w:pPr>
        <w:spacing w:after="0" w:line="63" w:lineRule="exact"/>
        <w:rPr>
          <w:rFonts w:ascii="Times New Roman" w:cs="Times New Roman" w:eastAsia="Times New Roman" w:hAnsi="Times New Roman"/>
          <w:sz w:val="18"/>
          <w:szCs w:val="18"/>
          <w:b w:val="1"/>
          <w:bCs w:val="1"/>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Raises FY 2026 guidance; now expects organic net sales growth of +7-8%</w:t>
      </w:r>
    </w:p>
    <w:p>
      <w:pPr>
        <w:spacing w:after="0" w:line="63" w:lineRule="exact"/>
        <w:rPr>
          <w:rFonts w:ascii="Times New Roman" w:cs="Times New Roman" w:eastAsia="Times New Roman" w:hAnsi="Times New Roman"/>
          <w:sz w:val="18"/>
          <w:szCs w:val="18"/>
          <w:b w:val="1"/>
          <w:bCs w:val="1"/>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Record Q3 net sales of $653 million increased 7.7% year over year; organic net sales growth of 7.7%</w:t>
      </w:r>
    </w:p>
    <w:p>
      <w:pPr>
        <w:spacing w:after="0" w:line="63" w:lineRule="exact"/>
        <w:rPr>
          <w:rFonts w:ascii="Times New Roman" w:cs="Times New Roman" w:eastAsia="Times New Roman" w:hAnsi="Times New Roman"/>
          <w:sz w:val="18"/>
          <w:szCs w:val="18"/>
          <w:b w:val="1"/>
          <w:bCs w:val="1"/>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Announces CEO transition; Steve Spittle will succeed Tim FitzGerald as CEO on April 1, 2027</w:t>
      </w:r>
    </w:p>
    <w:p>
      <w:pPr>
        <w:spacing w:after="0" w:line="63" w:lineRule="exact"/>
        <w:rPr>
          <w:rFonts w:ascii="Times New Roman" w:cs="Times New Roman" w:eastAsia="Times New Roman" w:hAnsi="Times New Roman"/>
          <w:sz w:val="18"/>
          <w:szCs w:val="18"/>
          <w:b w:val="1"/>
          <w:bCs w:val="1"/>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Repurchased 1.0 million shares (2.0% of shares outstanding) in Q3 2026 and 4.8 million shares (9.7% of shares outstanding) Q3 YTD 2026</w:t>
      </w:r>
    </w:p>
    <w:p>
      <w:pPr>
        <w:spacing w:after="0" w:line="63" w:lineRule="exact"/>
        <w:rPr>
          <w:rFonts w:ascii="Times New Roman" w:cs="Times New Roman" w:eastAsia="Times New Roman" w:hAnsi="Times New Roman"/>
          <w:sz w:val="18"/>
          <w:szCs w:val="18"/>
          <w:b w:val="1"/>
          <w:bCs w:val="1"/>
          <w:color w:val="auto"/>
        </w:rPr>
      </w:pPr>
    </w:p>
    <w:p>
      <w:pPr>
        <w:ind w:left="260" w:right="140" w:hanging="252"/>
        <w:spacing w:after="0" w:line="281" w:lineRule="auto"/>
        <w:tabs>
          <w:tab w:leader="none" w:pos="25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income of $99 million, compared to $124 million in prior year period, including $26 million of charges in the quarter related to the closure of the Brewing businesses</w:t>
      </w:r>
    </w:p>
    <w:p>
      <w:pPr>
        <w:spacing w:after="0" w:line="1" w:lineRule="exact"/>
        <w:rPr>
          <w:rFonts w:ascii="Times New Roman" w:cs="Times New Roman" w:eastAsia="Times New Roman" w:hAnsi="Times New Roman"/>
          <w:sz w:val="18"/>
          <w:szCs w:val="18"/>
          <w:b w:val="1"/>
          <w:bCs w:val="1"/>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Adjusted EBITDA increased 10% to $156 million, compared to $142 million in prior year period</w:t>
      </w:r>
    </w:p>
    <w:p>
      <w:pPr>
        <w:spacing w:after="0" w:line="63" w:lineRule="exact"/>
        <w:rPr>
          <w:rFonts w:ascii="Times New Roman" w:cs="Times New Roman" w:eastAsia="Times New Roman" w:hAnsi="Times New Roman"/>
          <w:sz w:val="18"/>
          <w:szCs w:val="18"/>
          <w:b w:val="1"/>
          <w:bCs w:val="1"/>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Adjusted EBITDA margin expanded to 23.9% in Q3 of 2026 from 23.5% in the prior year period</w:t>
      </w:r>
    </w:p>
    <w:p>
      <w:pPr>
        <w:spacing w:after="0" w:line="63" w:lineRule="exact"/>
        <w:rPr>
          <w:rFonts w:ascii="Times New Roman" w:cs="Times New Roman" w:eastAsia="Times New Roman" w:hAnsi="Times New Roman"/>
          <w:sz w:val="18"/>
          <w:szCs w:val="18"/>
          <w:b w:val="1"/>
          <w:bCs w:val="1"/>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Diluted GAAP EPS of $0.43, compared to $1.55 in prior year period</w:t>
      </w:r>
    </w:p>
    <w:p>
      <w:pPr>
        <w:spacing w:after="0" w:line="63" w:lineRule="exact"/>
        <w:rPr>
          <w:rFonts w:ascii="Times New Roman" w:cs="Times New Roman" w:eastAsia="Times New Roman" w:hAnsi="Times New Roman"/>
          <w:sz w:val="18"/>
          <w:szCs w:val="18"/>
          <w:b w:val="1"/>
          <w:bCs w:val="1"/>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Adjusted EPS increased 19% to $2.07, compared to $1.74 in prior year period</w:t>
      </w:r>
    </w:p>
    <w:p>
      <w:pPr>
        <w:spacing w:after="0" w:line="63" w:lineRule="exact"/>
        <w:rPr>
          <w:rFonts w:ascii="Times New Roman" w:cs="Times New Roman" w:eastAsia="Times New Roman" w:hAnsi="Times New Roman"/>
          <w:sz w:val="18"/>
          <w:szCs w:val="18"/>
          <w:b w:val="1"/>
          <w:bCs w:val="1"/>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Q3 2026 net leverage of 2.8x</w:t>
      </w:r>
    </w:p>
    <w:p>
      <w:pPr>
        <w:spacing w:after="0" w:line="63" w:lineRule="exact"/>
        <w:rPr>
          <w:rFonts w:ascii="Times New Roman" w:cs="Times New Roman" w:eastAsia="Times New Roman" w:hAnsi="Times New Roman"/>
          <w:sz w:val="18"/>
          <w:szCs w:val="18"/>
          <w:b w:val="1"/>
          <w:bCs w:val="1"/>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Closure of Brewing businesses, announced in September, remains on track for completion by year end</w:t>
      </w:r>
    </w:p>
    <w:p>
      <w:pPr>
        <w:spacing w:after="0" w:line="17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Elgin, Ill, November 5, 2026 - The Middleby Corporation (NASDAQ: MIDD), a global leader in commercial foodservice solutions, today reported net earnings for the third quarter of 2026.</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Tim FitzGerald, CEO of the Middleby Corporation said, “We delivered record third quarter net sales and strong organic growth across our commercial foodservice business. Adjusted EBITDA increased 10% from the prior year, and our performance exceeded the high end of our guidance ranges for net sales, Adjusted EBITDA and Adjusted EPS. These results reflect the benefits of our strategic investments, industry-leading innovation and continued focus on customer-driven solutions.”</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Tim FitzGerald continued, “Following the successful separation of our Food Processing business and the launch of Midera as an independent public company, Middleby is now a focused, pure-play commercial foodservice leader. We remain committed to disciplined capital allocation and repurchased 1.0 million shares during the third quarter and 4.8 million shares year to date. Our strong third quarter performance and continued business momentum give us confidence to raise our full year 2026 guidance.”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2026 Third Quarter Financial Results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noted, all results presented are on a reported third quarter continuing operations basis.</w:t>
      </w:r>
    </w:p>
    <w:p>
      <w:pPr>
        <w:spacing w:after="0" w:line="117" w:lineRule="exact"/>
        <w:rPr>
          <w:sz w:val="20"/>
          <w:szCs w:val="20"/>
          <w:color w:val="auto"/>
        </w:rPr>
      </w:pPr>
    </w:p>
    <w:p>
      <w:pPr>
        <w:ind w:left="660" w:right="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increased 7.7% in the third quarter compared to the prior year period. Foreign exchange rates had an immaterial impact on the year over year comparison.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reconciliation of organic net sales (a non-GAAP measure) by segment is as follows:</w:t>
      </w:r>
    </w:p>
    <w:p>
      <w:pPr>
        <w:spacing w:after="0" w:line="36"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7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3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Company</w:t>
            </w:r>
          </w:p>
        </w:tc>
      </w:tr>
      <w:tr>
        <w:trPr>
          <w:trHeight w:val="241"/>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652.6</w:t>
            </w:r>
          </w:p>
        </w:tc>
      </w:tr>
      <w:tr>
        <w:trPr>
          <w:trHeight w:val="337"/>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Reported Net Sales Growth</w:t>
            </w:r>
          </w:p>
        </w:tc>
        <w:tc>
          <w:tcPr>
            <w:tcW w:w="3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7.7 %</w:t>
            </w:r>
          </w:p>
        </w:tc>
      </w:tr>
      <w:tr>
        <w:trPr>
          <w:trHeight w:val="243"/>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Rates</w:t>
            </w:r>
          </w:p>
        </w:tc>
        <w:tc>
          <w:tcPr>
            <w:tcW w:w="3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305"/>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Organic Net Sales Growth</w:t>
            </w:r>
            <w:r>
              <w:rPr>
                <w:rFonts w:ascii="Times New Roman" w:cs="Times New Roman" w:eastAsia="Times New Roman" w:hAnsi="Times New Roman"/>
                <w:sz w:val="23"/>
                <w:szCs w:val="23"/>
                <w:b w:val="1"/>
                <w:bCs w:val="1"/>
                <w:color w:val="auto"/>
                <w:vertAlign w:val="superscript"/>
              </w:rPr>
              <w:t>(1)(2)</w:t>
            </w:r>
          </w:p>
        </w:tc>
        <w:tc>
          <w:tcPr>
            <w:tcW w:w="3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7.7 %</w:t>
            </w:r>
          </w:p>
        </w:tc>
      </w:tr>
    </w:tbl>
    <w:p>
      <w:pPr>
        <w:spacing w:after="0" w:line="30" w:lineRule="exact"/>
        <w:rPr>
          <w:sz w:val="20"/>
          <w:szCs w:val="20"/>
          <w:color w:val="auto"/>
        </w:rPr>
      </w:pPr>
    </w:p>
    <w:p>
      <w:pPr>
        <w:ind w:left="880" w:hanging="206"/>
        <w:spacing w:after="0"/>
        <w:tabs>
          <w:tab w:leader="none" w:pos="8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Organic net sales growth defined as total sales growth excluding impact of foreign exchange rates.</w:t>
      </w:r>
    </w:p>
    <w:p>
      <w:pPr>
        <w:spacing w:after="0" w:line="55" w:lineRule="exact"/>
        <w:rPr>
          <w:rFonts w:ascii="Times New Roman" w:cs="Times New Roman" w:eastAsia="Times New Roman" w:hAnsi="Times New Roman"/>
          <w:sz w:val="14"/>
          <w:szCs w:val="14"/>
          <w:color w:val="auto"/>
        </w:rPr>
      </w:pPr>
    </w:p>
    <w:p>
      <w:pPr>
        <w:ind w:left="880" w:hanging="206"/>
        <w:spacing w:after="0"/>
        <w:tabs>
          <w:tab w:leader="none" w:pos="8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Totals may be impacted by rounding.</w:t>
      </w:r>
    </w:p>
    <w:p>
      <w:pPr>
        <w:sectPr>
          <w:pgSz w:w="11900" w:h="16838" w:orient="portrait"/>
          <w:cols w:equalWidth="0" w:num="1">
            <w:col w:w="11200"/>
          </w:cols>
          <w:pgMar w:left="320" w:top="1440" w:right="379" w:bottom="1440" w:gutter="0" w:footer="0" w:header="0"/>
        </w:sectPr>
      </w:pPr>
    </w:p>
    <w:bookmarkStart w:id="4" w:name="page5"/>
    <w:bookmarkEnd w:id="4"/>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 non-GAAP measure) was $155.8 million in the third quarter compared to $142.2 million in the prior year.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reconciliation of organic adjusted EBITDA (a non-GAAP measure) is as follows:</w:t>
      </w:r>
    </w:p>
    <w:p>
      <w:pPr>
        <w:spacing w:after="0" w:line="144"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7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3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490"/>
              <w:spacing w:after="0" w:line="243" w:lineRule="exact"/>
              <w:rPr>
                <w:sz w:val="20"/>
                <w:szCs w:val="20"/>
                <w:color w:val="auto"/>
              </w:rPr>
            </w:pP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23"/>
                <w:szCs w:val="23"/>
                <w:b w:val="1"/>
                <w:bCs w:val="1"/>
                <w:color w:val="auto"/>
                <w:vertAlign w:val="superscript"/>
              </w:rPr>
              <w:t>(1)</w:t>
            </w:r>
          </w:p>
        </w:tc>
      </w:tr>
      <w:tr>
        <w:trPr>
          <w:trHeight w:val="237"/>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155.8</w:t>
            </w:r>
          </w:p>
        </w:tc>
      </w:tr>
      <w:tr>
        <w:trPr>
          <w:trHeight w:val="338"/>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w:t>
            </w:r>
          </w:p>
        </w:tc>
        <w:tc>
          <w:tcPr>
            <w:tcW w:w="34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23.9 %</w:t>
            </w:r>
          </w:p>
        </w:tc>
      </w:tr>
      <w:tr>
        <w:trPr>
          <w:trHeight w:val="243"/>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Rates</w:t>
            </w:r>
          </w:p>
        </w:tc>
        <w:tc>
          <w:tcPr>
            <w:tcW w:w="3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305"/>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Organic Adjusted EBITDA %</w:t>
            </w:r>
            <w:r>
              <w:rPr>
                <w:rFonts w:ascii="Times New Roman" w:cs="Times New Roman" w:eastAsia="Times New Roman" w:hAnsi="Times New Roman"/>
                <w:sz w:val="23"/>
                <w:szCs w:val="23"/>
                <w:b w:val="1"/>
                <w:bCs w:val="1"/>
                <w:color w:val="auto"/>
                <w:vertAlign w:val="superscript"/>
              </w:rPr>
              <w:t>(2)(3)(4)</w:t>
            </w:r>
          </w:p>
        </w:tc>
        <w:tc>
          <w:tcPr>
            <w:tcW w:w="34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23.9 %</w:t>
            </w:r>
          </w:p>
        </w:tc>
      </w:tr>
    </w:tbl>
    <w:p>
      <w:pPr>
        <w:spacing w:after="0" w:line="30" w:lineRule="exact"/>
        <w:rPr>
          <w:sz w:val="20"/>
          <w:szCs w:val="20"/>
          <w:color w:val="auto"/>
        </w:rPr>
      </w:pPr>
    </w:p>
    <w:p>
      <w:pPr>
        <w:ind w:left="880" w:hanging="206"/>
        <w:spacing w:after="0"/>
        <w:tabs>
          <w:tab w:leader="none" w:pos="880"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corporate and other general company expenses, which impact Adjusted EBITDA, and amounted to $17.6 million.</w:t>
      </w:r>
    </w:p>
    <w:p>
      <w:pPr>
        <w:spacing w:after="0" w:line="55" w:lineRule="exact"/>
        <w:rPr>
          <w:rFonts w:ascii="Times New Roman" w:cs="Times New Roman" w:eastAsia="Times New Roman" w:hAnsi="Times New Roman"/>
          <w:sz w:val="14"/>
          <w:szCs w:val="14"/>
          <w:color w:val="auto"/>
        </w:rPr>
      </w:pPr>
    </w:p>
    <w:p>
      <w:pPr>
        <w:ind w:left="880" w:hanging="206"/>
        <w:spacing w:after="0"/>
        <w:tabs>
          <w:tab w:leader="none" w:pos="880"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Organic Adjusted EBITDA defined as Adjusted EBITDA excluding impact of foreign exchange rates.</w:t>
      </w:r>
    </w:p>
    <w:p>
      <w:pPr>
        <w:spacing w:after="0" w:line="55" w:lineRule="exact"/>
        <w:rPr>
          <w:rFonts w:ascii="Times New Roman" w:cs="Times New Roman" w:eastAsia="Times New Roman" w:hAnsi="Times New Roman"/>
          <w:sz w:val="14"/>
          <w:szCs w:val="14"/>
          <w:color w:val="auto"/>
        </w:rPr>
      </w:pPr>
    </w:p>
    <w:p>
      <w:pPr>
        <w:ind w:left="880" w:hanging="206"/>
        <w:spacing w:after="0"/>
        <w:tabs>
          <w:tab w:leader="none" w:pos="880"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Totals may be impacted by rounding.</w:t>
      </w:r>
    </w:p>
    <w:p>
      <w:pPr>
        <w:spacing w:after="0" w:line="55" w:lineRule="exact"/>
        <w:rPr>
          <w:rFonts w:ascii="Times New Roman" w:cs="Times New Roman" w:eastAsia="Times New Roman" w:hAnsi="Times New Roman"/>
          <w:sz w:val="14"/>
          <w:szCs w:val="14"/>
          <w:color w:val="auto"/>
        </w:rPr>
      </w:pPr>
    </w:p>
    <w:p>
      <w:pPr>
        <w:ind w:left="880" w:hanging="206"/>
        <w:spacing w:after="0"/>
        <w:tabs>
          <w:tab w:leader="none" w:pos="880"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 excluding Brewing businesses was 24.3%</w:t>
      </w:r>
    </w:p>
    <w:p>
      <w:pPr>
        <w:spacing w:after="0" w:line="234" w:lineRule="exact"/>
        <w:rPr>
          <w:rFonts w:ascii="Times New Roman" w:cs="Times New Roman" w:eastAsia="Times New Roman" w:hAnsi="Times New Roman"/>
          <w:sz w:val="14"/>
          <w:szCs w:val="14"/>
          <w:color w:val="auto"/>
        </w:rPr>
      </w:pPr>
    </w:p>
    <w:p>
      <w:pPr>
        <w:ind w:left="660" w:right="3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4, 2026, the company entered into an amended and restated five-year, $3 billion multicurrency senior secured credit agreement, consisting of a $1.0 billion term loan facility and a $2.0 billion revolving multicurrency credit facility.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cash flows during the third quarter amounted to $122.6 million compared to $141.0 million in the prior year.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shares were repurchased for $106.5 million during the third quarter.</w:t>
      </w:r>
    </w:p>
    <w:p>
      <w:pPr>
        <w:spacing w:after="0" w:line="117"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debt at the end of the 2026 fiscal third quarter amounted to $1.7 billion as compared to $2.1 billion at the end of fiscal 2025. Net debt at the end of the 2026 fiscal third quarter amounted to $1.6 billion as compared to $2.0 billion at the end of fiscal 2025. The total net leverage ratio was 2.8x at the end of the third quarter. Borrowing availability at the end of the third quarter was approximately $1.4 billion based on the amended and restated credit facility.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2026 Outlook</w:t>
            </w: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45"/>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 also provided the following expectations for the fourth quarter and full year 2026:</w:t>
            </w: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78"/>
        </w:trPr>
        <w:tc>
          <w:tcPr>
            <w:tcW w:w="104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4th Qtr, 2026</w:t>
            </w:r>
          </w:p>
        </w:tc>
        <w:tc>
          <w:tcPr>
            <w:tcW w:w="80" w:type="dxa"/>
            <w:vAlign w:val="bottom"/>
          </w:tcPr>
          <w:p>
            <w:pPr>
              <w:spacing w:after="0"/>
              <w:rPr>
                <w:sz w:val="24"/>
                <w:szCs w:val="24"/>
                <w:color w:val="auto"/>
              </w:rPr>
            </w:pPr>
          </w:p>
        </w:tc>
        <w:tc>
          <w:tcPr>
            <w:tcW w:w="1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Full Year 2026</w:t>
            </w:r>
          </w:p>
        </w:tc>
      </w:tr>
      <w:tr>
        <w:trPr>
          <w:trHeight w:val="237"/>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$621-$635 M</w:t>
            </w:r>
          </w:p>
        </w:tc>
        <w:tc>
          <w:tcPr>
            <w:tcW w:w="1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$2.519-2.534 B</w:t>
            </w:r>
          </w:p>
        </w:tc>
      </w:tr>
      <w:tr>
        <w:trPr>
          <w:trHeight w:val="243"/>
        </w:trPr>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Organic Growth</w:t>
            </w:r>
          </w:p>
        </w:tc>
        <w:tc>
          <w:tcPr>
            <w:tcW w:w="1980" w:type="dxa"/>
            <w:vAlign w:val="bottom"/>
          </w:tcPr>
          <w:p>
            <w:pPr>
              <w:jc w:val="right"/>
              <w:ind w:right="50"/>
              <w:spacing w:after="0"/>
              <w:rPr>
                <w:sz w:val="20"/>
                <w:szCs w:val="20"/>
                <w:color w:val="auto"/>
              </w:rPr>
            </w:pPr>
            <w:r>
              <w:rPr>
                <w:rFonts w:ascii="Times New Roman" w:cs="Times New Roman" w:eastAsia="Times New Roman" w:hAnsi="Times New Roman"/>
                <w:sz w:val="18"/>
                <w:szCs w:val="18"/>
                <w:i w:val="1"/>
                <w:iCs w:val="1"/>
                <w:color w:val="auto"/>
              </w:rPr>
              <w:t>4.4%</w:t>
            </w:r>
          </w:p>
        </w:tc>
        <w:tc>
          <w:tcPr>
            <w:tcW w:w="80" w:type="dxa"/>
            <w:vAlign w:val="bottom"/>
          </w:tcPr>
          <w:p>
            <w:pPr>
              <w:spacing w:after="0"/>
              <w:rPr>
                <w:sz w:val="21"/>
                <w:szCs w:val="21"/>
                <w:color w:val="auto"/>
              </w:rPr>
            </w:pPr>
          </w:p>
        </w:tc>
        <w:tc>
          <w:tcPr>
            <w:tcW w:w="1980" w:type="dxa"/>
            <w:vAlign w:val="bottom"/>
          </w:tcPr>
          <w:p>
            <w:pPr>
              <w:jc w:val="right"/>
              <w:ind w:right="30"/>
              <w:spacing w:after="0"/>
              <w:rPr>
                <w:sz w:val="20"/>
                <w:szCs w:val="20"/>
                <w:color w:val="auto"/>
              </w:rPr>
            </w:pPr>
            <w:r>
              <w:rPr>
                <w:rFonts w:ascii="Times New Roman" w:cs="Times New Roman" w:eastAsia="Times New Roman" w:hAnsi="Times New Roman"/>
                <w:sz w:val="18"/>
                <w:szCs w:val="18"/>
                <w:i w:val="1"/>
                <w:iCs w:val="1"/>
                <w:color w:val="auto"/>
              </w:rPr>
              <w:t>7.5%</w:t>
            </w:r>
          </w:p>
        </w:tc>
      </w:tr>
      <w:tr>
        <w:trPr>
          <w:trHeight w:val="248"/>
        </w:trPr>
        <w:tc>
          <w:tcPr>
            <w:tcW w:w="7200" w:type="dxa"/>
            <w:vAlign w:val="bottom"/>
            <w:gridSpan w:val="2"/>
          </w:tcPr>
          <w:p>
            <w:pPr>
              <w:ind w:left="20"/>
              <w:spacing w:after="0" w:line="248"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2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$149-153 M</w:t>
            </w:r>
          </w:p>
        </w:tc>
        <w:tc>
          <w:tcPr>
            <w:tcW w:w="1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$589-593 M</w:t>
            </w:r>
          </w:p>
        </w:tc>
      </w:tr>
      <w:tr>
        <w:trPr>
          <w:trHeight w:val="306"/>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EPS</w:t>
            </w:r>
            <w:r>
              <w:rPr>
                <w:rFonts w:ascii="Times New Roman" w:cs="Times New Roman" w:eastAsia="Times New Roman" w:hAnsi="Times New Roman"/>
                <w:sz w:val="23"/>
                <w:szCs w:val="23"/>
                <w:color w:val="auto"/>
                <w:vertAlign w:val="superscript"/>
              </w:rPr>
              <w:t>(2)</w:t>
            </w:r>
          </w:p>
        </w:tc>
        <w:tc>
          <w:tcPr>
            <w:tcW w:w="1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$1.76-1.92</w:t>
            </w:r>
          </w:p>
        </w:tc>
        <w:tc>
          <w:tcPr>
            <w:tcW w:w="80" w:type="dxa"/>
            <w:vAlign w:val="bottom"/>
          </w:tcPr>
          <w:p>
            <w:pPr>
              <w:spacing w:after="0"/>
              <w:rPr>
                <w:sz w:val="24"/>
                <w:szCs w:val="24"/>
                <w:color w:val="auto"/>
              </w:rPr>
            </w:pPr>
          </w:p>
        </w:tc>
        <w:tc>
          <w:tcPr>
            <w:tcW w:w="1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$7.13-7.29</w:t>
            </w:r>
          </w:p>
        </w:tc>
      </w:tr>
    </w:tbl>
    <w:p>
      <w:pPr>
        <w:spacing w:after="0" w:line="30" w:lineRule="exact"/>
        <w:rPr>
          <w:sz w:val="20"/>
          <w:szCs w:val="20"/>
          <w:color w:val="auto"/>
        </w:rPr>
      </w:pPr>
    </w:p>
    <w:p>
      <w:pPr>
        <w:ind w:left="220" w:hanging="194"/>
        <w:spacing w:after="0"/>
        <w:tabs>
          <w:tab w:leader="none" w:pos="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corporate and other general company operations.</w:t>
      </w:r>
    </w:p>
    <w:p>
      <w:pPr>
        <w:spacing w:after="0" w:line="55"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FY 2026 Adjusted EPS expectation is the sum of the four quarters of Adjusted EPS; please reference earnings slides for further detail on guidance.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has scheduled a conference call to discuss the third quarter results at 10 a.m. Eastern/9 a.m. Central Time on November 5th. The conference call is accessible through the Investor Relations section of the company website at www.middleby.com. If website access is not available, attendees can join the conference by dialing (844) 676-5090, or (412) 634-6754 for international access. The conference call will be available for replay from the company’s website.</w:t>
      </w:r>
    </w:p>
    <w:p>
      <w:pPr>
        <w:sectPr>
          <w:pgSz w:w="11900" w:h="16838" w:orient="portrait"/>
          <w:cols w:equalWidth="0" w:num="1">
            <w:col w:w="11240"/>
          </w:cols>
          <w:pgMar w:left="320" w:top="89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Statement Regarding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Statements in this press release or otherwise attributable to the company regarding the company's business which are not historical facts are forward-looking statements made pursuant to the safe harbor provisions of the Private Securities Litigation Reform Act of 1995, including statements regarding our expectations with respect to our future performance. The company cautions investors that such statements are estimates of future performance and are highly dependent upon a variety of important factors that could cause actual results to differ materially from such statements. Such factors include variability in financing costs; quarterly variations in operating results; dependence on key customers; international exposure; foreign exchange and political risks affecting international sales; changing market conditions; the impact of competitive products and pricing; the timely development and market acceptance of the company's products; the availability and cost of raw materials; the costs, profitability, timing and the financial impact of, and charges associated with, the company’s discontinuing of its brewing businesses; and other risks detailed herein and from time-to-time in the company's SEC filings. Any forward-looking statement speaks only as of the date hereof, and the company does not undertake any obligation to publicly update or review any forward-looking statement, whether as a result of new information, future developments or otherwise, except as required by law.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The Middleby Corporation</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Middleby Corporation is a global leader in commercial foodservice solutions. The well-known Middleby brands develop and manufacture a broad portfolio of innovative products for commercial kitchens worldwide. Middleby serves a diverse customer base with equipment and technology offerings that include cooking, warming, beverage, ice and IoT while proudly showcasing its advanced foodservice solutions in four state-of-the-art Middleby Innovation Kitchens across North America and Europe.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inquiries: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Rebecca Ellin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of Corporate Development and Investor Strategy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rellin@middleby.com</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inquiries: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Darcy Bretz</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VP of Corporate Communications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dbretz@middleby.com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Kate Schneiderman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Director, ICR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middleby@icrinc.com</w:t>
      </w:r>
    </w:p>
    <w:p>
      <w:pPr>
        <w:sectPr>
          <w:pgSz w:w="11900" w:h="16838" w:orient="portrait"/>
          <w:cols w:equalWidth="0" w:num="1">
            <w:col w:w="11220"/>
          </w:cols>
          <w:pgMar w:left="320" w:top="887" w:right="35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THE MIDDLEBY CORPORATION</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CONDENSED CONSOLIDATED STATEMENTS OF EARNINGS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(Amounts in 000’s, Except Per Share Information)</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(Unaudited)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6"/>
        </w:trPr>
        <w:tc>
          <w:tcPr>
            <w:tcW w:w="5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3rd Qtr, 2026</w:t>
            </w:r>
          </w:p>
        </w:tc>
        <w:tc>
          <w:tcPr>
            <w:tcW w:w="12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3rd Qtr, 2025</w:t>
            </w:r>
          </w:p>
        </w:tc>
        <w:tc>
          <w:tcPr>
            <w:tcW w:w="12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3rd Qtr, 2026</w:t>
            </w:r>
          </w:p>
        </w:tc>
        <w:tc>
          <w:tcPr>
            <w:tcW w:w="12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3rd Qtr, 2025</w:t>
            </w:r>
          </w:p>
        </w:tc>
        <w:tc>
          <w:tcPr>
            <w:tcW w:w="0" w:type="dxa"/>
            <w:vAlign w:val="bottom"/>
          </w:tcPr>
          <w:p>
            <w:pPr>
              <w:spacing w:after="0"/>
              <w:rPr>
                <w:sz w:val="1"/>
                <w:szCs w:val="1"/>
                <w:color w:val="auto"/>
              </w:rPr>
            </w:pPr>
          </w:p>
        </w:tc>
      </w:tr>
      <w:tr>
        <w:trPr>
          <w:trHeight w:val="237"/>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652,575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606,001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1,898,724</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1,749,323</w:t>
            </w:r>
          </w:p>
        </w:tc>
        <w:tc>
          <w:tcPr>
            <w:tcW w:w="0" w:type="dxa"/>
            <w:vAlign w:val="bottom"/>
          </w:tcPr>
          <w:p>
            <w:pPr>
              <w:spacing w:after="0"/>
              <w:rPr>
                <w:sz w:val="1"/>
                <w:szCs w:val="1"/>
                <w:color w:val="auto"/>
              </w:rPr>
            </w:pPr>
          </w:p>
        </w:tc>
      </w:tr>
      <w:tr>
        <w:trPr>
          <w:trHeight w:val="24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402,904</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368,025</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1,154,927</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1,044,536</w:t>
            </w:r>
          </w:p>
        </w:tc>
        <w:tc>
          <w:tcPr>
            <w:tcW w:w="0" w:type="dxa"/>
            <w:vAlign w:val="bottom"/>
          </w:tcPr>
          <w:p>
            <w:pPr>
              <w:spacing w:after="0"/>
              <w:rPr>
                <w:sz w:val="1"/>
                <w:szCs w:val="1"/>
                <w:color w:val="auto"/>
              </w:rPr>
            </w:pPr>
          </w:p>
        </w:tc>
      </w:tr>
      <w:tr>
        <w:trPr>
          <w:trHeight w:val="237"/>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249,671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237,976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743,797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704,787</w:t>
            </w:r>
          </w:p>
        </w:tc>
        <w:tc>
          <w:tcPr>
            <w:tcW w:w="0" w:type="dxa"/>
            <w:vAlign w:val="bottom"/>
          </w:tcPr>
          <w:p>
            <w:pPr>
              <w:spacing w:after="0"/>
              <w:rPr>
                <w:sz w:val="1"/>
                <w:szCs w:val="1"/>
                <w:color w:val="auto"/>
              </w:rPr>
            </w:pPr>
          </w:p>
        </w:tc>
      </w:tr>
      <w:tr>
        <w:trPr>
          <w:trHeight w:val="24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355,691</w:t>
            </w:r>
          </w:p>
        </w:tc>
        <w:tc>
          <w:tcPr>
            <w:tcW w:w="0" w:type="dxa"/>
            <w:vAlign w:val="bottom"/>
          </w:tcPr>
          <w:p>
            <w:pPr>
              <w:spacing w:after="0"/>
              <w:rPr>
                <w:sz w:val="1"/>
                <w:szCs w:val="1"/>
                <w:color w:val="auto"/>
              </w:rPr>
            </w:pPr>
          </w:p>
        </w:tc>
      </w:tr>
      <w:tr>
        <w:trPr>
          <w:trHeight w:val="24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expenses</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0" w:type="dxa"/>
            <w:vAlign w:val="bottom"/>
          </w:tcPr>
          <w:p>
            <w:pPr>
              <w:spacing w:after="0"/>
              <w:rPr>
                <w:sz w:val="1"/>
                <w:szCs w:val="1"/>
                <w:color w:val="auto"/>
              </w:rPr>
            </w:pPr>
          </w:p>
        </w:tc>
      </w:tr>
      <w:tr>
        <w:trPr>
          <w:trHeight w:val="24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Impairments</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98,726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123,791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329,736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346,864</w:t>
            </w:r>
          </w:p>
        </w:tc>
        <w:tc>
          <w:tcPr>
            <w:tcW w:w="0" w:type="dxa"/>
            <w:vAlign w:val="bottom"/>
          </w:tcPr>
          <w:p>
            <w:pPr>
              <w:spacing w:after="0"/>
              <w:rPr>
                <w:sz w:val="1"/>
                <w:szCs w:val="1"/>
                <w:color w:val="auto"/>
              </w:rPr>
            </w:pPr>
          </w:p>
        </w:tc>
      </w:tr>
      <w:tr>
        <w:trPr>
          <w:trHeight w:val="24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and deferred financing amortization, net</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64,371</w:t>
            </w:r>
          </w:p>
        </w:tc>
        <w:tc>
          <w:tcPr>
            <w:tcW w:w="0" w:type="dxa"/>
            <w:vAlign w:val="bottom"/>
          </w:tcPr>
          <w:p>
            <w:pPr>
              <w:spacing w:after="0"/>
              <w:rPr>
                <w:sz w:val="1"/>
                <w:szCs w:val="1"/>
                <w:color w:val="auto"/>
              </w:rPr>
            </w:pPr>
          </w:p>
        </w:tc>
      </w:tr>
      <w:tr>
        <w:trPr>
          <w:trHeight w:val="24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pension benefit</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0" w:type="dxa"/>
            <w:vAlign w:val="bottom"/>
          </w:tcPr>
          <w:p>
            <w:pPr>
              <w:spacing w:after="0"/>
              <w:rPr>
                <w:sz w:val="1"/>
                <w:szCs w:val="1"/>
                <w:color w:val="auto"/>
              </w:rPr>
            </w:pPr>
          </w:p>
        </w:tc>
      </w:tr>
      <w:tr>
        <w:trPr>
          <w:trHeight w:val="24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expense/(income), net</w:t>
            </w: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11,890</w:t>
            </w:r>
          </w:p>
        </w:tc>
        <w:tc>
          <w:tcPr>
            <w:tcW w:w="0" w:type="dxa"/>
            <w:vAlign w:val="bottom"/>
          </w:tcPr>
          <w:p>
            <w:pPr>
              <w:spacing w:after="0"/>
              <w:rPr>
                <w:sz w:val="1"/>
                <w:szCs w:val="1"/>
                <w:color w:val="auto"/>
              </w:rPr>
            </w:pPr>
          </w:p>
        </w:tc>
      </w:tr>
      <w:tr>
        <w:trPr>
          <w:trHeight w:val="237"/>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Earnings from continuing operations before income taxes</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77,199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275,317</w:t>
            </w:r>
          </w:p>
        </w:tc>
        <w:tc>
          <w:tcPr>
            <w:tcW w:w="0" w:type="dxa"/>
            <w:vAlign w:val="bottom"/>
          </w:tcPr>
          <w:p>
            <w:pPr>
              <w:spacing w:after="0"/>
              <w:rPr>
                <w:sz w:val="1"/>
                <w:szCs w:val="1"/>
                <w:color w:val="auto"/>
              </w:rPr>
            </w:pPr>
          </w:p>
        </w:tc>
      </w:tr>
      <w:tr>
        <w:trPr>
          <w:trHeight w:val="24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19,167</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23,131</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68,362</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63,617</w:t>
            </w:r>
          </w:p>
        </w:tc>
        <w:tc>
          <w:tcPr>
            <w:tcW w:w="0" w:type="dxa"/>
            <w:vAlign w:val="bottom"/>
          </w:tcPr>
          <w:p>
            <w:pPr>
              <w:spacing w:after="0"/>
              <w:rPr>
                <w:sz w:val="1"/>
                <w:szCs w:val="1"/>
                <w:color w:val="auto"/>
              </w:rPr>
            </w:pPr>
          </w:p>
        </w:tc>
      </w:tr>
      <w:tr>
        <w:trPr>
          <w:trHeight w:val="237"/>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Earnings from continuing operations before equity in net losses of affiliate</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58,032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78,984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211,700</w:t>
            </w:r>
          </w:p>
        </w:tc>
        <w:tc>
          <w:tcPr>
            <w:tcW w:w="0" w:type="dxa"/>
            <w:vAlign w:val="bottom"/>
          </w:tcPr>
          <w:p>
            <w:pPr>
              <w:spacing w:after="0"/>
              <w:rPr>
                <w:sz w:val="1"/>
                <w:szCs w:val="1"/>
                <w:color w:val="auto"/>
              </w:rPr>
            </w:pPr>
          </w:p>
        </w:tc>
      </w:tr>
      <w:tr>
        <w:trPr>
          <w:trHeight w:val="24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Equity in losses of affiliate, net of tax</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earnings from continuing operations</w:t>
            </w:r>
          </w:p>
        </w:tc>
        <w:tc>
          <w:tcPr>
            <w:tcW w:w="1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78,984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132,195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211,700</w:t>
            </w:r>
          </w:p>
        </w:tc>
        <w:tc>
          <w:tcPr>
            <w:tcW w:w="0" w:type="dxa"/>
            <w:vAlign w:val="bottom"/>
          </w:tcPr>
          <w:p>
            <w:pPr>
              <w:spacing w:after="0"/>
              <w:rPr>
                <w:sz w:val="1"/>
                <w:szCs w:val="1"/>
                <w:color w:val="auto"/>
              </w:rPr>
            </w:pPr>
          </w:p>
        </w:tc>
      </w:tr>
      <w:tr>
        <w:trPr>
          <w:trHeight w:val="24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(20,983)</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(591,962)</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(129,071)</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(526,370)</w:t>
            </w:r>
          </w:p>
        </w:tc>
        <w:tc>
          <w:tcPr>
            <w:tcW w:w="0" w:type="dxa"/>
            <w:vAlign w:val="bottom"/>
          </w:tcPr>
          <w:p>
            <w:pPr>
              <w:spacing w:after="0"/>
              <w:rPr>
                <w:sz w:val="1"/>
                <w:szCs w:val="1"/>
                <w:color w:val="auto"/>
              </w:rPr>
            </w:pPr>
          </w:p>
        </w:tc>
      </w:tr>
      <w:tr>
        <w:trPr>
          <w:trHeight w:val="237"/>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(loss)/earnings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(512,978)</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(314,670)</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(loss)/earnings per share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3"/>
        </w:trPr>
        <w:tc>
          <w:tcPr>
            <w:tcW w:w="56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from continuing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43"/>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from discontinued operations</w:t>
            </w: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0" w:type="dxa"/>
            <w:vAlign w:val="bottom"/>
          </w:tcPr>
          <w:p>
            <w:pPr>
              <w:spacing w:after="0"/>
              <w:rPr>
                <w:sz w:val="1"/>
                <w:szCs w:val="1"/>
                <w:color w:val="auto"/>
              </w:rPr>
            </w:pPr>
          </w:p>
        </w:tc>
      </w:tr>
      <w:tr>
        <w:trPr>
          <w:trHeight w:val="237"/>
        </w:trPr>
        <w:tc>
          <w:tcPr>
            <w:tcW w:w="5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Basic (loss)/earnings per share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 from continuing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43"/>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 from discontinued operations</w:t>
            </w: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0" w:type="dxa"/>
            <w:vAlign w:val="bottom"/>
          </w:tcPr>
          <w:p>
            <w:pPr>
              <w:spacing w:after="0"/>
              <w:rPr>
                <w:sz w:val="1"/>
                <w:szCs w:val="1"/>
                <w:color w:val="auto"/>
              </w:rPr>
            </w:pPr>
          </w:p>
        </w:tc>
      </w:tr>
      <w:tr>
        <w:trPr>
          <w:trHeight w:val="237"/>
        </w:trPr>
        <w:tc>
          <w:tcPr>
            <w:tcW w:w="5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Diluted (loss)/earnings per share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56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44,871</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50,521</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45,810</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52,244</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44,900</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50,908</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45,829</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52,895</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Earnings/(loss) per share amounts for continuing operations and discontinued operations are calculated independently and may not sum to total earnings per share due to rounding.</w:t>
      </w:r>
    </w:p>
    <w:p>
      <w:pPr>
        <w:sectPr>
          <w:pgSz w:w="11900" w:h="16838" w:orient="portrait"/>
          <w:cols w:equalWidth="0" w:num="1">
            <w:col w:w="11220"/>
          </w:cols>
          <w:pgMar w:left="340" w:top="882" w:right="3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THE MIDDLEBY CORPORATION</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CONDENSED CONSOLIDATED BALANCE SHEETS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(Amounts in 000’s)</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(Unaudited)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Oct 3, 2026</w:t>
            </w:r>
          </w:p>
        </w:tc>
        <w:tc>
          <w:tcPr>
            <w:tcW w:w="340" w:type="dxa"/>
            <w:vAlign w:val="bottom"/>
          </w:tcPr>
          <w:p>
            <w:pPr>
              <w:spacing w:after="0"/>
              <w:rPr>
                <w:sz w:val="20"/>
                <w:szCs w:val="20"/>
                <w:color w:val="auto"/>
              </w:rPr>
            </w:pPr>
          </w:p>
        </w:tc>
        <w:tc>
          <w:tcPr>
            <w:tcW w:w="16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Jan 3, 2026</w:t>
            </w:r>
          </w:p>
        </w:tc>
        <w:tc>
          <w:tcPr>
            <w:tcW w:w="0" w:type="dxa"/>
            <w:vAlign w:val="bottom"/>
          </w:tcPr>
          <w:p>
            <w:pPr>
              <w:spacing w:after="0"/>
              <w:rPr>
                <w:sz w:val="1"/>
                <w:szCs w:val="1"/>
                <w:color w:val="auto"/>
              </w:rPr>
            </w:pPr>
          </w:p>
        </w:tc>
      </w:tr>
      <w:tr>
        <w:trPr>
          <w:trHeight w:val="183"/>
        </w:trPr>
        <w:tc>
          <w:tcPr>
            <w:tcW w:w="68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b w:val="1"/>
                <w:bCs w:val="1"/>
                <w:color w:val="auto"/>
                <w:w w:val="98"/>
              </w:rPr>
              <w:t>ASSETS</w:t>
            </w:r>
          </w:p>
        </w:tc>
        <w:tc>
          <w:tcPr>
            <w:tcW w:w="6500" w:type="dxa"/>
            <w:vAlign w:val="bottom"/>
            <w:gridSpan w:val="2"/>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104,327</w:t>
            </w:r>
          </w:p>
        </w:tc>
        <w:tc>
          <w:tcPr>
            <w:tcW w:w="8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131,657</w:t>
            </w:r>
          </w:p>
        </w:tc>
        <w:tc>
          <w:tcPr>
            <w:tcW w:w="0" w:type="dxa"/>
            <w:vAlign w:val="bottom"/>
          </w:tcPr>
          <w:p>
            <w:pPr>
              <w:spacing w:after="0"/>
              <w:rPr>
                <w:sz w:val="1"/>
                <w:szCs w:val="1"/>
                <w:color w:val="auto"/>
              </w:rPr>
            </w:pPr>
          </w:p>
        </w:tc>
      </w:tr>
      <w:tr>
        <w:trPr>
          <w:trHeight w:val="243"/>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418,158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357,729</w:t>
            </w:r>
          </w:p>
        </w:tc>
        <w:tc>
          <w:tcPr>
            <w:tcW w:w="0" w:type="dxa"/>
            <w:vAlign w:val="bottom"/>
          </w:tcPr>
          <w:p>
            <w:pPr>
              <w:spacing w:after="0"/>
              <w:rPr>
                <w:sz w:val="1"/>
                <w:szCs w:val="1"/>
                <w:color w:val="auto"/>
              </w:rPr>
            </w:pPr>
          </w:p>
        </w:tc>
      </w:tr>
      <w:tr>
        <w:trPr>
          <w:trHeight w:val="243"/>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522,373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501,855</w:t>
            </w:r>
          </w:p>
        </w:tc>
        <w:tc>
          <w:tcPr>
            <w:tcW w:w="0" w:type="dxa"/>
            <w:vAlign w:val="bottom"/>
          </w:tcPr>
          <w:p>
            <w:pPr>
              <w:spacing w:after="0"/>
              <w:rPr>
                <w:sz w:val="1"/>
                <w:szCs w:val="1"/>
                <w:color w:val="auto"/>
              </w:rPr>
            </w:pPr>
          </w:p>
        </w:tc>
      </w:tr>
      <w:tr>
        <w:trPr>
          <w:trHeight w:val="243"/>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37,398</w:t>
            </w:r>
          </w:p>
        </w:tc>
        <w:tc>
          <w:tcPr>
            <w:tcW w:w="0" w:type="dxa"/>
            <w:vAlign w:val="bottom"/>
          </w:tcPr>
          <w:p>
            <w:pPr>
              <w:spacing w:after="0"/>
              <w:rPr>
                <w:sz w:val="1"/>
                <w:szCs w:val="1"/>
                <w:color w:val="auto"/>
              </w:rPr>
            </w:pPr>
          </w:p>
        </w:tc>
      </w:tr>
      <w:tr>
        <w:trPr>
          <w:trHeight w:val="243"/>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taxes</w:t>
            </w: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40,548</w:t>
            </w:r>
          </w:p>
        </w:tc>
        <w:tc>
          <w:tcPr>
            <w:tcW w:w="0" w:type="dxa"/>
            <w:vAlign w:val="bottom"/>
          </w:tcPr>
          <w:p>
            <w:pPr>
              <w:spacing w:after="0"/>
              <w:rPr>
                <w:sz w:val="1"/>
                <w:szCs w:val="1"/>
                <w:color w:val="auto"/>
              </w:rPr>
            </w:pPr>
          </w:p>
        </w:tc>
      </w:tr>
      <w:tr>
        <w:trPr>
          <w:trHeight w:val="243"/>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 of discontinued operations</w:t>
            </w:r>
          </w:p>
        </w:tc>
        <w:tc>
          <w:tcPr>
            <w:tcW w:w="3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11,809</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1,673,456</w:t>
            </w:r>
          </w:p>
        </w:tc>
        <w:tc>
          <w:tcPr>
            <w:tcW w:w="0" w:type="dxa"/>
            <w:vAlign w:val="bottom"/>
          </w:tcPr>
          <w:p>
            <w:pPr>
              <w:spacing w:after="0"/>
              <w:rPr>
                <w:sz w:val="1"/>
                <w:szCs w:val="1"/>
                <w:color w:val="auto"/>
              </w:rPr>
            </w:pPr>
          </w:p>
        </w:tc>
      </w:tr>
      <w:tr>
        <w:trPr>
          <w:trHeight w:val="237"/>
        </w:trPr>
        <w:tc>
          <w:tcPr>
            <w:tcW w:w="71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1,123,823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2,742,643</w:t>
            </w:r>
          </w:p>
        </w:tc>
        <w:tc>
          <w:tcPr>
            <w:tcW w:w="0" w:type="dxa"/>
            <w:vAlign w:val="bottom"/>
          </w:tcPr>
          <w:p>
            <w:pPr>
              <w:spacing w:after="0"/>
              <w:rPr>
                <w:sz w:val="1"/>
                <w:szCs w:val="1"/>
                <w:color w:val="auto"/>
              </w:rPr>
            </w:pPr>
          </w:p>
        </w:tc>
      </w:tr>
      <w:tr>
        <w:trPr>
          <w:trHeight w:val="243"/>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263,525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270,587</w:t>
            </w:r>
          </w:p>
        </w:tc>
        <w:tc>
          <w:tcPr>
            <w:tcW w:w="0" w:type="dxa"/>
            <w:vAlign w:val="bottom"/>
          </w:tcPr>
          <w:p>
            <w:pPr>
              <w:spacing w:after="0"/>
              <w:rPr>
                <w:sz w:val="1"/>
                <w:szCs w:val="1"/>
                <w:color w:val="auto"/>
              </w:rPr>
            </w:pPr>
          </w:p>
        </w:tc>
      </w:tr>
      <w:tr>
        <w:trPr>
          <w:trHeight w:val="243"/>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1,293,539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1,297,332</w:t>
            </w:r>
          </w:p>
        </w:tc>
        <w:tc>
          <w:tcPr>
            <w:tcW w:w="0" w:type="dxa"/>
            <w:vAlign w:val="bottom"/>
          </w:tcPr>
          <w:p>
            <w:pPr>
              <w:spacing w:after="0"/>
              <w:rPr>
                <w:sz w:val="1"/>
                <w:szCs w:val="1"/>
                <w:color w:val="auto"/>
              </w:rPr>
            </w:pPr>
          </w:p>
        </w:tc>
      </w:tr>
      <w:tr>
        <w:trPr>
          <w:trHeight w:val="243"/>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intangibles, net</w:t>
            </w: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844,203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887,936</w:t>
            </w:r>
          </w:p>
        </w:tc>
        <w:tc>
          <w:tcPr>
            <w:tcW w:w="0" w:type="dxa"/>
            <w:vAlign w:val="bottom"/>
          </w:tcPr>
          <w:p>
            <w:pPr>
              <w:spacing w:after="0"/>
              <w:rPr>
                <w:sz w:val="1"/>
                <w:szCs w:val="1"/>
                <w:color w:val="auto"/>
              </w:rPr>
            </w:pPr>
          </w:p>
        </w:tc>
      </w:tr>
      <w:tr>
        <w:trPr>
          <w:trHeight w:val="243"/>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deferred tax assets</w:t>
            </w: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6,992</w:t>
            </w:r>
          </w:p>
        </w:tc>
        <w:tc>
          <w:tcPr>
            <w:tcW w:w="0" w:type="dxa"/>
            <w:vAlign w:val="bottom"/>
          </w:tcPr>
          <w:p>
            <w:pPr>
              <w:spacing w:after="0"/>
              <w:rPr>
                <w:sz w:val="1"/>
                <w:szCs w:val="1"/>
                <w:color w:val="auto"/>
              </w:rPr>
            </w:pPr>
          </w:p>
        </w:tc>
      </w:tr>
      <w:tr>
        <w:trPr>
          <w:trHeight w:val="243"/>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Pension benefits assets</w:t>
            </w: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114,147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106,444</w:t>
            </w:r>
          </w:p>
        </w:tc>
        <w:tc>
          <w:tcPr>
            <w:tcW w:w="0" w:type="dxa"/>
            <w:vAlign w:val="bottom"/>
          </w:tcPr>
          <w:p>
            <w:pPr>
              <w:spacing w:after="0"/>
              <w:rPr>
                <w:sz w:val="1"/>
                <w:szCs w:val="1"/>
                <w:color w:val="auto"/>
              </w:rPr>
            </w:pPr>
          </w:p>
        </w:tc>
      </w:tr>
      <w:tr>
        <w:trPr>
          <w:trHeight w:val="243"/>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method investment</w:t>
            </w: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73,405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Note receivable</w:t>
            </w: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84,053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128,165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140,527</w:t>
            </w:r>
          </w:p>
        </w:tc>
        <w:tc>
          <w:tcPr>
            <w:tcW w:w="0" w:type="dxa"/>
            <w:vAlign w:val="bottom"/>
          </w:tcPr>
          <w:p>
            <w:pPr>
              <w:spacing w:after="0"/>
              <w:rPr>
                <w:sz w:val="1"/>
                <w:szCs w:val="1"/>
                <w:color w:val="auto"/>
              </w:rPr>
            </w:pPr>
          </w:p>
        </w:tc>
      </w:tr>
      <w:tr>
        <w:trPr>
          <w:trHeight w:val="243"/>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Non-current assets of discontinued operations</w:t>
            </w:r>
          </w:p>
        </w:tc>
        <w:tc>
          <w:tcPr>
            <w:tcW w:w="340" w:type="dxa"/>
            <w:vAlign w:val="bottom"/>
          </w:tcPr>
          <w:p>
            <w:pPr>
              <w:spacing w:after="0"/>
              <w:rPr>
                <w:sz w:val="21"/>
                <w:szCs w:val="21"/>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862,705</w:t>
            </w:r>
          </w:p>
        </w:tc>
        <w:tc>
          <w:tcPr>
            <w:tcW w:w="0" w:type="dxa"/>
            <w:vAlign w:val="bottom"/>
          </w:tcPr>
          <w:p>
            <w:pPr>
              <w:spacing w:after="0"/>
              <w:rPr>
                <w:sz w:val="1"/>
                <w:szCs w:val="1"/>
                <w:color w:val="auto"/>
              </w:rPr>
            </w:pPr>
          </w:p>
        </w:tc>
      </w:tr>
      <w:tr>
        <w:trPr>
          <w:trHeight w:val="236"/>
        </w:trPr>
        <w:tc>
          <w:tcPr>
            <w:tcW w:w="71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3,930,637</w:t>
            </w:r>
          </w:p>
        </w:tc>
        <w:tc>
          <w:tcPr>
            <w:tcW w:w="8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6,315,166</w:t>
            </w:r>
          </w:p>
        </w:tc>
        <w:tc>
          <w:tcPr>
            <w:tcW w:w="0" w:type="dxa"/>
            <w:vAlign w:val="bottom"/>
          </w:tcPr>
          <w:p>
            <w:pPr>
              <w:spacing w:after="0"/>
              <w:rPr>
                <w:sz w:val="1"/>
                <w:szCs w:val="1"/>
                <w:color w:val="auto"/>
              </w:rPr>
            </w:pPr>
          </w:p>
        </w:tc>
      </w:tr>
      <w:tr>
        <w:trPr>
          <w:trHeight w:val="21"/>
        </w:trPr>
        <w:tc>
          <w:tcPr>
            <w:tcW w:w="71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180" w:type="dxa"/>
            <w:vAlign w:val="bottom"/>
            <w:gridSpan w:val="3"/>
            <w:vMerge w:val="continue"/>
          </w:tcPr>
          <w:p>
            <w:pPr>
              <w:spacing w:after="0"/>
              <w:rPr>
                <w:sz w:val="22"/>
                <w:szCs w:val="22"/>
                <w:color w:val="auto"/>
              </w:rPr>
            </w:pPr>
          </w:p>
        </w:tc>
        <w:tc>
          <w:tcPr>
            <w:tcW w:w="3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28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40,320</w:t>
            </w:r>
          </w:p>
        </w:tc>
        <w:tc>
          <w:tcPr>
            <w:tcW w:w="8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40,431</w:t>
            </w:r>
          </w:p>
        </w:tc>
        <w:tc>
          <w:tcPr>
            <w:tcW w:w="0" w:type="dxa"/>
            <w:vAlign w:val="bottom"/>
          </w:tcPr>
          <w:p>
            <w:pPr>
              <w:spacing w:after="0"/>
              <w:rPr>
                <w:sz w:val="1"/>
                <w:szCs w:val="1"/>
                <w:color w:val="auto"/>
              </w:rPr>
            </w:pPr>
          </w:p>
        </w:tc>
      </w:tr>
      <w:tr>
        <w:trPr>
          <w:trHeight w:val="243"/>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156,054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132,354</w:t>
            </w:r>
          </w:p>
        </w:tc>
        <w:tc>
          <w:tcPr>
            <w:tcW w:w="0" w:type="dxa"/>
            <w:vAlign w:val="bottom"/>
          </w:tcPr>
          <w:p>
            <w:pPr>
              <w:spacing w:after="0"/>
              <w:rPr>
                <w:sz w:val="1"/>
                <w:szCs w:val="1"/>
                <w:color w:val="auto"/>
              </w:rPr>
            </w:pPr>
          </w:p>
        </w:tc>
      </w:tr>
      <w:tr>
        <w:trPr>
          <w:trHeight w:val="243"/>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355,491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361,814</w:t>
            </w:r>
          </w:p>
        </w:tc>
        <w:tc>
          <w:tcPr>
            <w:tcW w:w="0" w:type="dxa"/>
            <w:vAlign w:val="bottom"/>
          </w:tcPr>
          <w:p>
            <w:pPr>
              <w:spacing w:after="0"/>
              <w:rPr>
                <w:sz w:val="1"/>
                <w:szCs w:val="1"/>
                <w:color w:val="auto"/>
              </w:rPr>
            </w:pPr>
          </w:p>
        </w:tc>
      </w:tr>
      <w:tr>
        <w:trPr>
          <w:trHeight w:val="243"/>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liabilities of discontinued operations</w:t>
            </w:r>
          </w:p>
        </w:tc>
        <w:tc>
          <w:tcPr>
            <w:tcW w:w="3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9,928</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533,632</w:t>
            </w:r>
          </w:p>
        </w:tc>
        <w:tc>
          <w:tcPr>
            <w:tcW w:w="0" w:type="dxa"/>
            <w:vAlign w:val="bottom"/>
          </w:tcPr>
          <w:p>
            <w:pPr>
              <w:spacing w:after="0"/>
              <w:rPr>
                <w:sz w:val="1"/>
                <w:szCs w:val="1"/>
                <w:color w:val="auto"/>
              </w:rPr>
            </w:pPr>
          </w:p>
        </w:tc>
      </w:tr>
      <w:tr>
        <w:trPr>
          <w:trHeight w:val="237"/>
        </w:trPr>
        <w:tc>
          <w:tcPr>
            <w:tcW w:w="71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561,793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1,068,231</w:t>
            </w:r>
          </w:p>
        </w:tc>
        <w:tc>
          <w:tcPr>
            <w:tcW w:w="0" w:type="dxa"/>
            <w:vAlign w:val="bottom"/>
          </w:tcPr>
          <w:p>
            <w:pPr>
              <w:spacing w:after="0"/>
              <w:rPr>
                <w:sz w:val="1"/>
                <w:szCs w:val="1"/>
                <w:color w:val="auto"/>
              </w:rPr>
            </w:pPr>
          </w:p>
        </w:tc>
      </w:tr>
      <w:tr>
        <w:trPr>
          <w:trHeight w:val="243"/>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1,708,352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2,101,075</w:t>
            </w:r>
          </w:p>
        </w:tc>
        <w:tc>
          <w:tcPr>
            <w:tcW w:w="0" w:type="dxa"/>
            <w:vAlign w:val="bottom"/>
          </w:tcPr>
          <w:p>
            <w:pPr>
              <w:spacing w:after="0"/>
              <w:rPr>
                <w:sz w:val="1"/>
                <w:szCs w:val="1"/>
                <w:color w:val="auto"/>
              </w:rPr>
            </w:pPr>
          </w:p>
        </w:tc>
      </w:tr>
      <w:tr>
        <w:trPr>
          <w:trHeight w:val="243"/>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deferred tax liability</w:t>
            </w: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180,356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119,390</w:t>
            </w:r>
          </w:p>
        </w:tc>
        <w:tc>
          <w:tcPr>
            <w:tcW w:w="0" w:type="dxa"/>
            <w:vAlign w:val="bottom"/>
          </w:tcPr>
          <w:p>
            <w:pPr>
              <w:spacing w:after="0"/>
              <w:rPr>
                <w:sz w:val="1"/>
                <w:szCs w:val="1"/>
                <w:color w:val="auto"/>
              </w:rPr>
            </w:pPr>
          </w:p>
        </w:tc>
      </w:tr>
      <w:tr>
        <w:trPr>
          <w:trHeight w:val="243"/>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pension benefits</w:t>
            </w: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7,629</w:t>
            </w:r>
          </w:p>
        </w:tc>
        <w:tc>
          <w:tcPr>
            <w:tcW w:w="0" w:type="dxa"/>
            <w:vAlign w:val="bottom"/>
          </w:tcPr>
          <w:p>
            <w:pPr>
              <w:spacing w:after="0"/>
              <w:rPr>
                <w:sz w:val="1"/>
                <w:szCs w:val="1"/>
                <w:color w:val="auto"/>
              </w:rPr>
            </w:pPr>
          </w:p>
        </w:tc>
      </w:tr>
      <w:tr>
        <w:trPr>
          <w:trHeight w:val="243"/>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141,972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141,072</w:t>
            </w:r>
          </w:p>
        </w:tc>
        <w:tc>
          <w:tcPr>
            <w:tcW w:w="0" w:type="dxa"/>
            <w:vAlign w:val="bottom"/>
          </w:tcPr>
          <w:p>
            <w:pPr>
              <w:spacing w:after="0"/>
              <w:rPr>
                <w:sz w:val="1"/>
                <w:szCs w:val="1"/>
                <w:color w:val="auto"/>
              </w:rPr>
            </w:pPr>
          </w:p>
        </w:tc>
      </w:tr>
      <w:tr>
        <w:trPr>
          <w:trHeight w:val="243"/>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Non-current liabilities of discontinued operations</w:t>
            </w:r>
          </w:p>
        </w:tc>
        <w:tc>
          <w:tcPr>
            <w:tcW w:w="340" w:type="dxa"/>
            <w:vAlign w:val="bottom"/>
          </w:tcPr>
          <w:p>
            <w:pPr>
              <w:spacing w:after="0"/>
              <w:rPr>
                <w:sz w:val="21"/>
                <w:szCs w:val="21"/>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101,540</w:t>
            </w:r>
          </w:p>
        </w:tc>
        <w:tc>
          <w:tcPr>
            <w:tcW w:w="0" w:type="dxa"/>
            <w:vAlign w:val="bottom"/>
          </w:tcPr>
          <w:p>
            <w:pPr>
              <w:spacing w:after="0"/>
              <w:rPr>
                <w:sz w:val="1"/>
                <w:szCs w:val="1"/>
                <w:color w:val="auto"/>
              </w:rPr>
            </w:pPr>
          </w:p>
        </w:tc>
      </w:tr>
      <w:tr>
        <w:trPr>
          <w:trHeight w:val="243"/>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1,331,017</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2,776,229</w:t>
            </w:r>
          </w:p>
        </w:tc>
        <w:tc>
          <w:tcPr>
            <w:tcW w:w="0" w:type="dxa"/>
            <w:vAlign w:val="bottom"/>
          </w:tcPr>
          <w:p>
            <w:pPr>
              <w:spacing w:after="0"/>
              <w:rPr>
                <w:sz w:val="1"/>
                <w:szCs w:val="1"/>
                <w:color w:val="auto"/>
              </w:rPr>
            </w:pPr>
          </w:p>
        </w:tc>
      </w:tr>
      <w:tr>
        <w:trPr>
          <w:trHeight w:val="236"/>
        </w:trPr>
        <w:tc>
          <w:tcPr>
            <w:tcW w:w="71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3,930,637</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6,315,166</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882"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1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THE MIDDLEBY CORPORATION</w:t>
            </w:r>
          </w:p>
        </w:tc>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3"/>
        </w:trPr>
        <w:tc>
          <w:tcPr>
            <w:tcW w:w="2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80" w:type="dxa"/>
            <w:vAlign w:val="bottom"/>
            <w:tcBorders>
              <w:bottom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b w:val="1"/>
                <w:bCs w:val="1"/>
                <w:color w:val="auto"/>
                <w:w w:val="98"/>
              </w:rPr>
              <w:t>NON-GAAP INFORMATION</w:t>
            </w:r>
          </w:p>
        </w:tc>
        <w:tc>
          <w:tcPr>
            <w:tcW w:w="222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09"/>
        </w:trPr>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60" w:type="dxa"/>
            <w:vAlign w:val="bottom"/>
            <w:gridSpan w:val="4"/>
          </w:tcPr>
          <w:p>
            <w:pPr>
              <w:jc w:val="center"/>
              <w:ind w:right="1980"/>
              <w:spacing w:after="0"/>
              <w:rPr>
                <w:sz w:val="20"/>
                <w:szCs w:val="20"/>
                <w:color w:val="auto"/>
              </w:rPr>
            </w:pPr>
            <w:r>
              <w:rPr>
                <w:rFonts w:ascii="Times New Roman" w:cs="Times New Roman" w:eastAsia="Times New Roman" w:hAnsi="Times New Roman"/>
                <w:sz w:val="16"/>
                <w:szCs w:val="16"/>
                <w:color w:val="auto"/>
              </w:rPr>
              <w:t>(Amounts in 000’s, Except Percentages)</w:t>
            </w: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0"/>
        </w:trPr>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0" w:type="dxa"/>
            <w:vAlign w:val="bottom"/>
            <w:gridSpan w:val="3"/>
          </w:tcPr>
          <w:p>
            <w:pPr>
              <w:jc w:val="center"/>
              <w:ind w:right="2220"/>
              <w:spacing w:after="0"/>
              <w:rPr>
                <w:sz w:val="20"/>
                <w:szCs w:val="20"/>
                <w:color w:val="auto"/>
              </w:rPr>
            </w:pPr>
            <w:r>
              <w:rPr>
                <w:rFonts w:ascii="Times New Roman" w:cs="Times New Roman" w:eastAsia="Times New Roman" w:hAnsi="Times New Roman"/>
                <w:sz w:val="16"/>
                <w:szCs w:val="16"/>
                <w:color w:val="auto"/>
              </w:rPr>
              <w:t>(Unaudited)</w:t>
            </w: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63"/>
        </w:trPr>
        <w:tc>
          <w:tcPr>
            <w:tcW w:w="2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310"/>
              <w:spacing w:after="0" w:line="263" w:lineRule="exact"/>
              <w:rPr>
                <w:sz w:val="20"/>
                <w:szCs w:val="20"/>
                <w:color w:val="auto"/>
              </w:rPr>
            </w:pPr>
            <w:r>
              <w:rPr>
                <w:rFonts w:ascii="Times New Roman" w:cs="Times New Roman" w:eastAsia="Times New Roman" w:hAnsi="Times New Roman"/>
                <w:sz w:val="18"/>
                <w:szCs w:val="18"/>
                <w:b w:val="1"/>
                <w:bCs w:val="1"/>
                <w:color w:val="auto"/>
              </w:rPr>
              <w:t>Total Company</w:t>
            </w:r>
            <w:r>
              <w:rPr>
                <w:rFonts w:ascii="Times New Roman" w:cs="Times New Roman" w:eastAsia="Times New Roman" w:hAnsi="Times New Roman"/>
                <w:sz w:val="23"/>
                <w:szCs w:val="23"/>
                <w:b w:val="1"/>
                <w:bCs w:val="1"/>
                <w:color w:val="auto"/>
                <w:vertAlign w:val="superscript"/>
              </w:rPr>
              <w:t>(1)</w:t>
            </w:r>
          </w:p>
        </w:tc>
      </w:tr>
      <w:tr>
        <w:trPr>
          <w:trHeight w:val="183"/>
        </w:trPr>
        <w:tc>
          <w:tcPr>
            <w:tcW w:w="9120" w:type="dxa"/>
            <w:vAlign w:val="bottom"/>
            <w:gridSpan w:val="7"/>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Three Months Ended October 3, 2026</w:t>
            </w:r>
          </w:p>
        </w:tc>
        <w:tc>
          <w:tcPr>
            <w:tcW w:w="2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63"/>
        </w:trPr>
        <w:tc>
          <w:tcPr>
            <w:tcW w:w="29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Net sales</w:t>
            </w:r>
          </w:p>
        </w:tc>
        <w:tc>
          <w:tcPr>
            <w:tcW w:w="6220" w:type="dxa"/>
            <w:vAlign w:val="bottom"/>
            <w:gridSpan w:val="6"/>
          </w:tcPr>
          <w:p>
            <w:pPr>
              <w:spacing w:after="0"/>
              <w:rPr>
                <w:sz w:val="22"/>
                <w:szCs w:val="22"/>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652,575</w:t>
            </w:r>
          </w:p>
        </w:tc>
      </w:tr>
      <w:tr>
        <w:trPr>
          <w:trHeight w:val="243"/>
        </w:trPr>
        <w:tc>
          <w:tcPr>
            <w:tcW w:w="9120" w:type="dxa"/>
            <w:vAlign w:val="bottom"/>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rPr>
              <w:t>Income from continuing operations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98,726</w:t>
            </w:r>
          </w:p>
        </w:tc>
      </w:tr>
      <w:tr>
        <w:trPr>
          <w:trHeight w:val="243"/>
        </w:trPr>
        <w:tc>
          <w:tcPr>
            <w:tcW w:w="9120" w:type="dxa"/>
            <w:vAlign w:val="bottom"/>
            <w:gridSpan w:val="7"/>
          </w:tcPr>
          <w:p>
            <w:pPr>
              <w:ind w:left="120"/>
              <w:spacing w:after="0"/>
              <w:rPr>
                <w:sz w:val="20"/>
                <w:szCs w:val="20"/>
                <w:color w:val="auto"/>
              </w:rPr>
            </w:pPr>
            <w:r>
              <w:rPr>
                <w:rFonts w:ascii="Times New Roman" w:cs="Times New Roman" w:eastAsia="Times New Roman" w:hAnsi="Times New Roman"/>
                <w:sz w:val="18"/>
                <w:szCs w:val="18"/>
                <w:i w:val="1"/>
                <w:iCs w:val="1"/>
                <w:color w:val="auto"/>
              </w:rPr>
              <w:t>Income from continuing operations % of net sales</w:t>
            </w:r>
          </w:p>
        </w:tc>
        <w:tc>
          <w:tcPr>
            <w:tcW w:w="24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15.1 %</w:t>
            </w:r>
          </w:p>
        </w:tc>
      </w:tr>
      <w:tr>
        <w:trPr>
          <w:trHeight w:val="243"/>
        </w:trPr>
        <w:tc>
          <w:tcPr>
            <w:tcW w:w="912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Pr>
          <w:p>
            <w:pPr>
              <w:spacing w:after="0"/>
              <w:rPr>
                <w:sz w:val="21"/>
                <w:szCs w:val="21"/>
                <w:color w:val="auto"/>
              </w:rPr>
            </w:pP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7,929</w:t>
            </w:r>
          </w:p>
        </w:tc>
      </w:tr>
      <w:tr>
        <w:trPr>
          <w:trHeight w:val="243"/>
        </w:trPr>
        <w:tc>
          <w:tcPr>
            <w:tcW w:w="912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Pr>
          <w:p>
            <w:pPr>
              <w:spacing w:after="0"/>
              <w:rPr>
                <w:sz w:val="21"/>
                <w:szCs w:val="21"/>
                <w:color w:val="auto"/>
              </w:rPr>
            </w:pP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11,285</w:t>
            </w:r>
          </w:p>
        </w:tc>
      </w:tr>
      <w:tr>
        <w:trPr>
          <w:trHeight w:val="243"/>
        </w:trPr>
        <w:tc>
          <w:tcPr>
            <w:tcW w:w="912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Restructuring expenses</w:t>
            </w:r>
          </w:p>
        </w:tc>
        <w:tc>
          <w:tcPr>
            <w:tcW w:w="240" w:type="dxa"/>
            <w:vAlign w:val="bottom"/>
          </w:tcPr>
          <w:p>
            <w:pPr>
              <w:spacing w:after="0"/>
              <w:rPr>
                <w:sz w:val="21"/>
                <w:szCs w:val="21"/>
                <w:color w:val="auto"/>
              </w:rPr>
            </w:pP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2,012</w:t>
            </w:r>
          </w:p>
        </w:tc>
      </w:tr>
      <w:tr>
        <w:trPr>
          <w:trHeight w:val="243"/>
        </w:trPr>
        <w:tc>
          <w:tcPr>
            <w:tcW w:w="912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Acquisition related adjustments</w:t>
            </w:r>
          </w:p>
        </w:tc>
        <w:tc>
          <w:tcPr>
            <w:tcW w:w="240" w:type="dxa"/>
            <w:vAlign w:val="bottom"/>
          </w:tcPr>
          <w:p>
            <w:pPr>
              <w:spacing w:after="0"/>
              <w:rPr>
                <w:sz w:val="21"/>
                <w:szCs w:val="21"/>
                <w:color w:val="auto"/>
              </w:rPr>
            </w:pPr>
          </w:p>
        </w:tc>
        <w:tc>
          <w:tcPr>
            <w:tcW w:w="1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(996)</w:t>
            </w:r>
          </w:p>
        </w:tc>
      </w:tr>
      <w:tr>
        <w:trPr>
          <w:trHeight w:val="243"/>
        </w:trPr>
        <w:tc>
          <w:tcPr>
            <w:tcW w:w="912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Facility consolidation related expenses</w:t>
            </w:r>
          </w:p>
        </w:tc>
        <w:tc>
          <w:tcPr>
            <w:tcW w:w="240" w:type="dxa"/>
            <w:vAlign w:val="bottom"/>
          </w:tcPr>
          <w:p>
            <w:pPr>
              <w:spacing w:after="0"/>
              <w:rPr>
                <w:sz w:val="21"/>
                <w:szCs w:val="21"/>
                <w:color w:val="auto"/>
              </w:rPr>
            </w:pP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2,796</w:t>
            </w:r>
          </w:p>
        </w:tc>
      </w:tr>
      <w:tr>
        <w:trPr>
          <w:trHeight w:val="243"/>
        </w:trPr>
        <w:tc>
          <w:tcPr>
            <w:tcW w:w="912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Strategic transaction costs</w:t>
            </w:r>
          </w:p>
        </w:tc>
        <w:tc>
          <w:tcPr>
            <w:tcW w:w="240" w:type="dxa"/>
            <w:vAlign w:val="bottom"/>
          </w:tcPr>
          <w:p>
            <w:pPr>
              <w:spacing w:after="0"/>
              <w:rPr>
                <w:sz w:val="21"/>
                <w:szCs w:val="21"/>
                <w:color w:val="auto"/>
              </w:rPr>
            </w:pP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2,331</w:t>
            </w:r>
          </w:p>
        </w:tc>
      </w:tr>
      <w:tr>
        <w:trPr>
          <w:trHeight w:val="243"/>
        </w:trPr>
        <w:tc>
          <w:tcPr>
            <w:tcW w:w="912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Stock compensation</w:t>
            </w:r>
          </w:p>
        </w:tc>
        <w:tc>
          <w:tcPr>
            <w:tcW w:w="240" w:type="dxa"/>
            <w:vAlign w:val="bottom"/>
          </w:tcPr>
          <w:p>
            <w:pPr>
              <w:spacing w:after="0"/>
              <w:rPr>
                <w:sz w:val="21"/>
                <w:szCs w:val="21"/>
                <w:color w:val="auto"/>
              </w:rPr>
            </w:pP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5,755</w:t>
            </w:r>
          </w:p>
        </w:tc>
      </w:tr>
      <w:tr>
        <w:trPr>
          <w:trHeight w:val="243"/>
        </w:trPr>
        <w:tc>
          <w:tcPr>
            <w:tcW w:w="9120" w:type="dxa"/>
            <w:vAlign w:val="bottom"/>
            <w:gridSpan w:val="7"/>
          </w:tcPr>
          <w:p>
            <w:pPr>
              <w:ind w:left="320"/>
              <w:spacing w:after="0" w:line="243" w:lineRule="exact"/>
              <w:rPr>
                <w:sz w:val="20"/>
                <w:szCs w:val="20"/>
                <w:color w:val="auto"/>
              </w:rPr>
            </w:pPr>
            <w:r>
              <w:rPr>
                <w:rFonts w:ascii="Times New Roman" w:cs="Times New Roman" w:eastAsia="Times New Roman" w:hAnsi="Times New Roman"/>
                <w:sz w:val="18"/>
                <w:szCs w:val="18"/>
                <w:color w:val="auto"/>
              </w:rPr>
              <w:t>Brewing closure-related charges</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25,946</w:t>
            </w:r>
          </w:p>
        </w:tc>
      </w:tr>
      <w:tr>
        <w:trPr>
          <w:trHeight w:val="243"/>
        </w:trPr>
        <w:tc>
          <w:tcPr>
            <w:tcW w:w="9120" w:type="dxa"/>
            <w:vAlign w:val="bottom"/>
            <w:gridSpan w:val="7"/>
          </w:tcPr>
          <w:p>
            <w:pPr>
              <w:ind w:left="120"/>
              <w:spacing w:after="0" w:line="243" w:lineRule="exact"/>
              <w:rPr>
                <w:sz w:val="20"/>
                <w:szCs w:val="20"/>
                <w:color w:val="auto"/>
              </w:rPr>
            </w:pPr>
            <w:r>
              <w:rPr>
                <w:rFonts w:ascii="Times New Roman" w:cs="Times New Roman" w:eastAsia="Times New Roman" w:hAnsi="Times New Roman"/>
                <w:sz w:val="18"/>
                <w:szCs w:val="18"/>
                <w:b w:val="1"/>
                <w:bCs w:val="1"/>
                <w:color w:val="auto"/>
              </w:rPr>
              <w:t>Adjusted EBITDA from continuing operations</w:t>
            </w:r>
            <w:r>
              <w:rPr>
                <w:rFonts w:ascii="Times New Roman" w:cs="Times New Roman" w:eastAsia="Times New Roman" w:hAnsi="Times New Roman"/>
                <w:sz w:val="23"/>
                <w:szCs w:val="23"/>
                <w:b w:val="1"/>
                <w:bCs w:val="1"/>
                <w:color w:val="auto"/>
                <w:vertAlign w:val="superscript"/>
              </w:rPr>
              <w:t>(3)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155,784</w:t>
            </w:r>
          </w:p>
        </w:tc>
      </w:tr>
      <w:tr>
        <w:trPr>
          <w:trHeight w:val="236"/>
        </w:trPr>
        <w:tc>
          <w:tcPr>
            <w:tcW w:w="9120" w:type="dxa"/>
            <w:vAlign w:val="bottom"/>
            <w:gridSpan w:val="7"/>
          </w:tcPr>
          <w:p>
            <w:pPr>
              <w:ind w:left="120"/>
              <w:spacing w:after="0"/>
              <w:rPr>
                <w:sz w:val="20"/>
                <w:szCs w:val="20"/>
                <w:color w:val="auto"/>
              </w:rPr>
            </w:pPr>
            <w:r>
              <w:rPr>
                <w:rFonts w:ascii="Times New Roman" w:cs="Times New Roman" w:eastAsia="Times New Roman" w:hAnsi="Times New Roman"/>
                <w:sz w:val="18"/>
                <w:szCs w:val="18"/>
                <w:i w:val="1"/>
                <w:iCs w:val="1"/>
                <w:color w:val="auto"/>
              </w:rPr>
              <w:t>Adjusted EBITDA from continuing operations % of net sales</w:t>
            </w:r>
          </w:p>
        </w:tc>
        <w:tc>
          <w:tcPr>
            <w:tcW w:w="24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23.9 %</w:t>
            </w:r>
          </w:p>
        </w:tc>
      </w:tr>
      <w:tr>
        <w:trPr>
          <w:trHeight w:val="297"/>
        </w:trPr>
        <w:tc>
          <w:tcPr>
            <w:tcW w:w="3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27, 2025</w:t>
            </w:r>
          </w:p>
        </w:tc>
        <w:tc>
          <w:tcPr>
            <w:tcW w:w="5920" w:type="dxa"/>
            <w:vAlign w:val="bottom"/>
            <w:gridSpan w:val="5"/>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64"/>
        </w:trPr>
        <w:tc>
          <w:tcPr>
            <w:tcW w:w="912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606,001</w:t>
            </w:r>
          </w:p>
        </w:tc>
      </w:tr>
      <w:tr>
        <w:trPr>
          <w:trHeight w:val="243"/>
        </w:trPr>
        <w:tc>
          <w:tcPr>
            <w:tcW w:w="9120" w:type="dxa"/>
            <w:vAlign w:val="bottom"/>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rPr>
              <w:t>Income from continuing operations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123,791</w:t>
            </w:r>
          </w:p>
        </w:tc>
      </w:tr>
      <w:tr>
        <w:trPr>
          <w:trHeight w:val="243"/>
        </w:trPr>
        <w:tc>
          <w:tcPr>
            <w:tcW w:w="9120" w:type="dxa"/>
            <w:vAlign w:val="bottom"/>
            <w:gridSpan w:val="7"/>
          </w:tcPr>
          <w:p>
            <w:pPr>
              <w:ind w:left="120"/>
              <w:spacing w:after="0"/>
              <w:rPr>
                <w:sz w:val="20"/>
                <w:szCs w:val="20"/>
                <w:color w:val="auto"/>
              </w:rPr>
            </w:pPr>
            <w:r>
              <w:rPr>
                <w:rFonts w:ascii="Times New Roman" w:cs="Times New Roman" w:eastAsia="Times New Roman" w:hAnsi="Times New Roman"/>
                <w:sz w:val="18"/>
                <w:szCs w:val="18"/>
                <w:i w:val="1"/>
                <w:iCs w:val="1"/>
                <w:color w:val="auto"/>
              </w:rPr>
              <w:t>Income from continuing operations % of net sales</w:t>
            </w:r>
          </w:p>
        </w:tc>
        <w:tc>
          <w:tcPr>
            <w:tcW w:w="24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20.4 %</w:t>
            </w:r>
          </w:p>
        </w:tc>
      </w:tr>
      <w:tr>
        <w:trPr>
          <w:trHeight w:val="243"/>
        </w:trPr>
        <w:tc>
          <w:tcPr>
            <w:tcW w:w="912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Pr>
          <w:p>
            <w:pPr>
              <w:spacing w:after="0"/>
              <w:rPr>
                <w:sz w:val="21"/>
                <w:szCs w:val="21"/>
                <w:color w:val="auto"/>
              </w:rPr>
            </w:pP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7,646</w:t>
            </w:r>
          </w:p>
        </w:tc>
      </w:tr>
      <w:tr>
        <w:trPr>
          <w:trHeight w:val="243"/>
        </w:trPr>
        <w:tc>
          <w:tcPr>
            <w:tcW w:w="912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Pr>
          <w:p>
            <w:pPr>
              <w:spacing w:after="0"/>
              <w:rPr>
                <w:sz w:val="21"/>
                <w:szCs w:val="21"/>
                <w:color w:val="auto"/>
              </w:rPr>
            </w:pP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10,657</w:t>
            </w:r>
          </w:p>
        </w:tc>
      </w:tr>
      <w:tr>
        <w:trPr>
          <w:trHeight w:val="243"/>
        </w:trPr>
        <w:tc>
          <w:tcPr>
            <w:tcW w:w="912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Restructuring expenses</w:t>
            </w:r>
          </w:p>
        </w:tc>
        <w:tc>
          <w:tcPr>
            <w:tcW w:w="240" w:type="dxa"/>
            <w:vAlign w:val="bottom"/>
          </w:tcPr>
          <w:p>
            <w:pPr>
              <w:spacing w:after="0"/>
              <w:rPr>
                <w:sz w:val="21"/>
                <w:szCs w:val="21"/>
                <w:color w:val="auto"/>
              </w:rPr>
            </w:pP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349</w:t>
            </w:r>
          </w:p>
        </w:tc>
      </w:tr>
      <w:tr>
        <w:trPr>
          <w:trHeight w:val="243"/>
        </w:trPr>
        <w:tc>
          <w:tcPr>
            <w:tcW w:w="912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Acquisition related adjustments</w:t>
            </w:r>
          </w:p>
        </w:tc>
        <w:tc>
          <w:tcPr>
            <w:tcW w:w="240" w:type="dxa"/>
            <w:vAlign w:val="bottom"/>
          </w:tcPr>
          <w:p>
            <w:pPr>
              <w:spacing w:after="0"/>
              <w:rPr>
                <w:sz w:val="21"/>
                <w:szCs w:val="21"/>
                <w:color w:val="auto"/>
              </w:rPr>
            </w:pP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282</w:t>
            </w:r>
          </w:p>
        </w:tc>
      </w:tr>
      <w:tr>
        <w:trPr>
          <w:trHeight w:val="243"/>
        </w:trPr>
        <w:tc>
          <w:tcPr>
            <w:tcW w:w="912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Stock compensation</w:t>
            </w:r>
          </w:p>
        </w:tc>
        <w:tc>
          <w:tcPr>
            <w:tcW w:w="2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(494)</w:t>
            </w:r>
          </w:p>
        </w:tc>
      </w:tr>
      <w:tr>
        <w:trPr>
          <w:trHeight w:val="237"/>
        </w:trPr>
        <w:tc>
          <w:tcPr>
            <w:tcW w:w="9120" w:type="dxa"/>
            <w:vAlign w:val="bottom"/>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rPr>
              <w:t>Adjusted EBITDA from continuing operations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142,231</w:t>
            </w:r>
          </w:p>
        </w:tc>
      </w:tr>
      <w:tr>
        <w:trPr>
          <w:trHeight w:val="243"/>
        </w:trPr>
        <w:tc>
          <w:tcPr>
            <w:tcW w:w="9120" w:type="dxa"/>
            <w:vAlign w:val="bottom"/>
            <w:gridSpan w:val="7"/>
          </w:tcPr>
          <w:p>
            <w:pPr>
              <w:ind w:left="120"/>
              <w:spacing w:after="0"/>
              <w:rPr>
                <w:sz w:val="20"/>
                <w:szCs w:val="20"/>
                <w:color w:val="auto"/>
              </w:rPr>
            </w:pPr>
            <w:r>
              <w:rPr>
                <w:rFonts w:ascii="Times New Roman" w:cs="Times New Roman" w:eastAsia="Times New Roman" w:hAnsi="Times New Roman"/>
                <w:sz w:val="18"/>
                <w:szCs w:val="18"/>
                <w:i w:val="1"/>
                <w:iCs w:val="1"/>
                <w:color w:val="auto"/>
              </w:rPr>
              <w:t>Adjusted EBITDA from continuing operations % of net sales</w:t>
            </w:r>
          </w:p>
        </w:tc>
        <w:tc>
          <w:tcPr>
            <w:tcW w:w="24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23.5 %</w:t>
            </w:r>
          </w:p>
        </w:tc>
      </w:tr>
    </w:tbl>
    <w:p>
      <w:pPr>
        <w:spacing w:after="0" w:line="139" w:lineRule="exact"/>
        <w:rPr>
          <w:sz w:val="20"/>
          <w:szCs w:val="20"/>
          <w:color w:val="auto"/>
        </w:rPr>
      </w:pPr>
    </w:p>
    <w:p>
      <w:pPr>
        <w:ind w:right="100" w:firstLine="6"/>
        <w:spacing w:after="0" w:line="241" w:lineRule="auto"/>
        <w:tabs>
          <w:tab w:leader="none" w:pos="204"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corporate and other general company expenses, which impact Adjusted EBITDA, of $17.6 million and $19.4 million for the three months ended October 3, 2026 and September 27, 2025, respectively.</w:t>
      </w:r>
    </w:p>
    <w:p>
      <w:pPr>
        <w:spacing w:after="0" w:line="68" w:lineRule="exact"/>
        <w:rPr>
          <w:rFonts w:ascii="Times New Roman" w:cs="Times New Roman" w:eastAsia="Times New Roman" w:hAnsi="Times New Roman"/>
          <w:sz w:val="14"/>
          <w:szCs w:val="14"/>
          <w:color w:val="auto"/>
        </w:rPr>
      </w:pPr>
    </w:p>
    <w:p>
      <w:pPr>
        <w:ind w:right="140" w:firstLine="6"/>
        <w:spacing w:after="0" w:line="241" w:lineRule="auto"/>
        <w:tabs>
          <w:tab w:leader="none" w:pos="191"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Brewing closure-related charges for the three months ended October 3, 2026 included $20.0 million of non-cash impairments of long-lived assets, $5.5 million of non-cash other asset write-downs and $0.4 million of severance.</w:t>
      </w:r>
    </w:p>
    <w:p>
      <w:pPr>
        <w:spacing w:after="0" w:line="68"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exchange rates unfavorably impacted Adjusted EBITDA by approximately $0.1 million for the three months ended October 3, 2026.</w:t>
      </w:r>
    </w:p>
    <w:p>
      <w:pPr>
        <w:sectPr>
          <w:pgSz w:w="11900" w:h="16838" w:orient="portrait"/>
          <w:cols w:equalWidth="0" w:num="1">
            <w:col w:w="11220"/>
          </w:cols>
          <w:pgMar w:left="340" w:top="868"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2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1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THE MIDDLEBY CORPORATION</w:t>
            </w:r>
          </w:p>
        </w:tc>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3"/>
        </w:trPr>
        <w:tc>
          <w:tcPr>
            <w:tcW w:w="2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80" w:type="dxa"/>
            <w:vAlign w:val="bottom"/>
            <w:tcBorders>
              <w:bottom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b w:val="1"/>
                <w:bCs w:val="1"/>
                <w:color w:val="auto"/>
                <w:w w:val="98"/>
              </w:rPr>
              <w:t>NON-GAAP INFORMATION</w:t>
            </w:r>
          </w:p>
        </w:tc>
        <w:tc>
          <w:tcPr>
            <w:tcW w:w="222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09"/>
        </w:trPr>
        <w:tc>
          <w:tcPr>
            <w:tcW w:w="2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60" w:type="dxa"/>
            <w:vAlign w:val="bottom"/>
            <w:gridSpan w:val="4"/>
          </w:tcPr>
          <w:p>
            <w:pPr>
              <w:jc w:val="center"/>
              <w:ind w:right="1980"/>
              <w:spacing w:after="0"/>
              <w:rPr>
                <w:sz w:val="20"/>
                <w:szCs w:val="20"/>
                <w:color w:val="auto"/>
              </w:rPr>
            </w:pPr>
            <w:r>
              <w:rPr>
                <w:rFonts w:ascii="Times New Roman" w:cs="Times New Roman" w:eastAsia="Times New Roman" w:hAnsi="Times New Roman"/>
                <w:sz w:val="16"/>
                <w:szCs w:val="16"/>
                <w:color w:val="auto"/>
              </w:rPr>
              <w:t>(Amounts in 000’s, Except Percentages)</w:t>
            </w: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0"/>
        </w:trPr>
        <w:tc>
          <w:tcPr>
            <w:tcW w:w="2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0" w:type="dxa"/>
            <w:vAlign w:val="bottom"/>
            <w:gridSpan w:val="3"/>
          </w:tcPr>
          <w:p>
            <w:pPr>
              <w:jc w:val="center"/>
              <w:ind w:right="2220"/>
              <w:spacing w:after="0"/>
              <w:rPr>
                <w:sz w:val="20"/>
                <w:szCs w:val="20"/>
                <w:color w:val="auto"/>
              </w:rPr>
            </w:pPr>
            <w:r>
              <w:rPr>
                <w:rFonts w:ascii="Times New Roman" w:cs="Times New Roman" w:eastAsia="Times New Roman" w:hAnsi="Times New Roman"/>
                <w:sz w:val="16"/>
                <w:szCs w:val="16"/>
                <w:color w:val="auto"/>
              </w:rPr>
              <w:t>(Unaudited)</w:t>
            </w: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63"/>
        </w:trPr>
        <w:tc>
          <w:tcPr>
            <w:tcW w:w="2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310"/>
              <w:spacing w:after="0" w:line="263" w:lineRule="exact"/>
              <w:rPr>
                <w:sz w:val="20"/>
                <w:szCs w:val="20"/>
                <w:color w:val="auto"/>
              </w:rPr>
            </w:pPr>
            <w:r>
              <w:rPr>
                <w:rFonts w:ascii="Times New Roman" w:cs="Times New Roman" w:eastAsia="Times New Roman" w:hAnsi="Times New Roman"/>
                <w:sz w:val="18"/>
                <w:szCs w:val="18"/>
                <w:b w:val="1"/>
                <w:bCs w:val="1"/>
                <w:color w:val="auto"/>
              </w:rPr>
              <w:t>Total Company</w:t>
            </w:r>
            <w:r>
              <w:rPr>
                <w:rFonts w:ascii="Times New Roman" w:cs="Times New Roman" w:eastAsia="Times New Roman" w:hAnsi="Times New Roman"/>
                <w:sz w:val="23"/>
                <w:szCs w:val="23"/>
                <w:b w:val="1"/>
                <w:bCs w:val="1"/>
                <w:color w:val="auto"/>
                <w:vertAlign w:val="superscript"/>
              </w:rPr>
              <w:t>(1)</w:t>
            </w:r>
          </w:p>
        </w:tc>
      </w:tr>
      <w:tr>
        <w:trPr>
          <w:trHeight w:val="183"/>
        </w:trPr>
        <w:tc>
          <w:tcPr>
            <w:tcW w:w="9120" w:type="dxa"/>
            <w:vAlign w:val="bottom"/>
            <w:gridSpan w:val="7"/>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Nine Months Ended October 3, 2026</w:t>
            </w:r>
          </w:p>
        </w:tc>
        <w:tc>
          <w:tcPr>
            <w:tcW w:w="2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63"/>
        </w:trPr>
        <w:tc>
          <w:tcPr>
            <w:tcW w:w="28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Net sales</w:t>
            </w:r>
          </w:p>
        </w:tc>
        <w:tc>
          <w:tcPr>
            <w:tcW w:w="6320" w:type="dxa"/>
            <w:vAlign w:val="bottom"/>
            <w:gridSpan w:val="6"/>
          </w:tcPr>
          <w:p>
            <w:pPr>
              <w:spacing w:after="0"/>
              <w:rPr>
                <w:sz w:val="22"/>
                <w:szCs w:val="22"/>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1,898,724</w:t>
            </w:r>
          </w:p>
        </w:tc>
      </w:tr>
      <w:tr>
        <w:trPr>
          <w:trHeight w:val="243"/>
        </w:trPr>
        <w:tc>
          <w:tcPr>
            <w:tcW w:w="9120" w:type="dxa"/>
            <w:vAlign w:val="bottom"/>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rPr>
              <w:t>Income from continuing operations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329,736</w:t>
            </w:r>
          </w:p>
        </w:tc>
      </w:tr>
      <w:tr>
        <w:trPr>
          <w:trHeight w:val="243"/>
        </w:trPr>
        <w:tc>
          <w:tcPr>
            <w:tcW w:w="9120" w:type="dxa"/>
            <w:vAlign w:val="bottom"/>
            <w:gridSpan w:val="7"/>
          </w:tcPr>
          <w:p>
            <w:pPr>
              <w:ind w:left="120"/>
              <w:spacing w:after="0"/>
              <w:rPr>
                <w:sz w:val="20"/>
                <w:szCs w:val="20"/>
                <w:color w:val="auto"/>
              </w:rPr>
            </w:pPr>
            <w:r>
              <w:rPr>
                <w:rFonts w:ascii="Times New Roman" w:cs="Times New Roman" w:eastAsia="Times New Roman" w:hAnsi="Times New Roman"/>
                <w:sz w:val="18"/>
                <w:szCs w:val="18"/>
                <w:i w:val="1"/>
                <w:iCs w:val="1"/>
                <w:color w:val="auto"/>
              </w:rPr>
              <w:t>Income from continuing operations % of net sales</w:t>
            </w:r>
          </w:p>
        </w:tc>
        <w:tc>
          <w:tcPr>
            <w:tcW w:w="24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17.4 %</w:t>
            </w:r>
          </w:p>
        </w:tc>
      </w:tr>
      <w:tr>
        <w:trPr>
          <w:trHeight w:val="243"/>
        </w:trPr>
        <w:tc>
          <w:tcPr>
            <w:tcW w:w="912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Pr>
          <w:p>
            <w:pPr>
              <w:spacing w:after="0"/>
              <w:rPr>
                <w:sz w:val="21"/>
                <w:szCs w:val="21"/>
                <w:color w:val="auto"/>
              </w:rPr>
            </w:pP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23,567</w:t>
            </w:r>
          </w:p>
        </w:tc>
      </w:tr>
      <w:tr>
        <w:trPr>
          <w:trHeight w:val="243"/>
        </w:trPr>
        <w:tc>
          <w:tcPr>
            <w:tcW w:w="912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Pr>
          <w:p>
            <w:pPr>
              <w:spacing w:after="0"/>
              <w:rPr>
                <w:sz w:val="21"/>
                <w:szCs w:val="21"/>
                <w:color w:val="auto"/>
              </w:rPr>
            </w:pP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32,466</w:t>
            </w:r>
          </w:p>
        </w:tc>
      </w:tr>
      <w:tr>
        <w:trPr>
          <w:trHeight w:val="243"/>
        </w:trPr>
        <w:tc>
          <w:tcPr>
            <w:tcW w:w="912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Restructuring expenses</w:t>
            </w:r>
          </w:p>
        </w:tc>
        <w:tc>
          <w:tcPr>
            <w:tcW w:w="240" w:type="dxa"/>
            <w:vAlign w:val="bottom"/>
          </w:tcPr>
          <w:p>
            <w:pPr>
              <w:spacing w:after="0"/>
              <w:rPr>
                <w:sz w:val="21"/>
                <w:szCs w:val="21"/>
                <w:color w:val="auto"/>
              </w:rPr>
            </w:pP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4,179</w:t>
            </w:r>
          </w:p>
        </w:tc>
      </w:tr>
      <w:tr>
        <w:trPr>
          <w:trHeight w:val="243"/>
        </w:trPr>
        <w:tc>
          <w:tcPr>
            <w:tcW w:w="912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Acquisition related adjustments</w:t>
            </w:r>
          </w:p>
        </w:tc>
        <w:tc>
          <w:tcPr>
            <w:tcW w:w="240" w:type="dxa"/>
            <w:vAlign w:val="bottom"/>
          </w:tcPr>
          <w:p>
            <w:pPr>
              <w:spacing w:after="0"/>
              <w:rPr>
                <w:sz w:val="21"/>
                <w:szCs w:val="21"/>
                <w:color w:val="auto"/>
              </w:rPr>
            </w:pPr>
          </w:p>
        </w:tc>
        <w:tc>
          <w:tcPr>
            <w:tcW w:w="1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(2,755)</w:t>
            </w:r>
          </w:p>
        </w:tc>
      </w:tr>
      <w:tr>
        <w:trPr>
          <w:trHeight w:val="243"/>
        </w:trPr>
        <w:tc>
          <w:tcPr>
            <w:tcW w:w="912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Facility consolidation related expenses</w:t>
            </w:r>
          </w:p>
        </w:tc>
        <w:tc>
          <w:tcPr>
            <w:tcW w:w="240" w:type="dxa"/>
            <w:vAlign w:val="bottom"/>
          </w:tcPr>
          <w:p>
            <w:pPr>
              <w:spacing w:after="0"/>
              <w:rPr>
                <w:sz w:val="21"/>
                <w:szCs w:val="21"/>
                <w:color w:val="auto"/>
              </w:rPr>
            </w:pP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3,624</w:t>
            </w:r>
          </w:p>
        </w:tc>
      </w:tr>
      <w:tr>
        <w:trPr>
          <w:trHeight w:val="243"/>
        </w:trPr>
        <w:tc>
          <w:tcPr>
            <w:tcW w:w="912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Strategic transaction costs</w:t>
            </w:r>
          </w:p>
        </w:tc>
        <w:tc>
          <w:tcPr>
            <w:tcW w:w="240" w:type="dxa"/>
            <w:vAlign w:val="bottom"/>
          </w:tcPr>
          <w:p>
            <w:pPr>
              <w:spacing w:after="0"/>
              <w:rPr>
                <w:sz w:val="21"/>
                <w:szCs w:val="21"/>
                <w:color w:val="auto"/>
              </w:rPr>
            </w:pP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2,741</w:t>
            </w:r>
          </w:p>
        </w:tc>
      </w:tr>
      <w:tr>
        <w:trPr>
          <w:trHeight w:val="243"/>
        </w:trPr>
        <w:tc>
          <w:tcPr>
            <w:tcW w:w="912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Stock compensation</w:t>
            </w:r>
          </w:p>
        </w:tc>
        <w:tc>
          <w:tcPr>
            <w:tcW w:w="240" w:type="dxa"/>
            <w:vAlign w:val="bottom"/>
          </w:tcPr>
          <w:p>
            <w:pPr>
              <w:spacing w:after="0"/>
              <w:rPr>
                <w:sz w:val="21"/>
                <w:szCs w:val="21"/>
                <w:color w:val="auto"/>
              </w:rPr>
            </w:pP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20,290</w:t>
            </w:r>
          </w:p>
        </w:tc>
      </w:tr>
      <w:tr>
        <w:trPr>
          <w:trHeight w:val="243"/>
        </w:trPr>
        <w:tc>
          <w:tcPr>
            <w:tcW w:w="9120" w:type="dxa"/>
            <w:vAlign w:val="bottom"/>
            <w:gridSpan w:val="7"/>
          </w:tcPr>
          <w:p>
            <w:pPr>
              <w:ind w:left="340"/>
              <w:spacing w:after="0" w:line="243" w:lineRule="exact"/>
              <w:rPr>
                <w:sz w:val="20"/>
                <w:szCs w:val="20"/>
                <w:color w:val="auto"/>
              </w:rPr>
            </w:pPr>
            <w:r>
              <w:rPr>
                <w:rFonts w:ascii="Times New Roman" w:cs="Times New Roman" w:eastAsia="Times New Roman" w:hAnsi="Times New Roman"/>
                <w:sz w:val="18"/>
                <w:szCs w:val="18"/>
                <w:color w:val="auto"/>
              </w:rPr>
              <w:t>Brewing closure-related charges</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25,946</w:t>
            </w:r>
          </w:p>
        </w:tc>
      </w:tr>
      <w:tr>
        <w:trPr>
          <w:trHeight w:val="243"/>
        </w:trPr>
        <w:tc>
          <w:tcPr>
            <w:tcW w:w="9120" w:type="dxa"/>
            <w:vAlign w:val="bottom"/>
            <w:gridSpan w:val="7"/>
          </w:tcPr>
          <w:p>
            <w:pPr>
              <w:ind w:left="120"/>
              <w:spacing w:after="0" w:line="243" w:lineRule="exact"/>
              <w:rPr>
                <w:sz w:val="20"/>
                <w:szCs w:val="20"/>
                <w:color w:val="auto"/>
              </w:rPr>
            </w:pPr>
            <w:r>
              <w:rPr>
                <w:rFonts w:ascii="Times New Roman" w:cs="Times New Roman" w:eastAsia="Times New Roman" w:hAnsi="Times New Roman"/>
                <w:sz w:val="18"/>
                <w:szCs w:val="18"/>
                <w:b w:val="1"/>
                <w:bCs w:val="1"/>
                <w:color w:val="auto"/>
              </w:rPr>
              <w:t>Adjusted EBITDA from continuing operations</w:t>
            </w:r>
            <w:r>
              <w:rPr>
                <w:rFonts w:ascii="Times New Roman" w:cs="Times New Roman" w:eastAsia="Times New Roman" w:hAnsi="Times New Roman"/>
                <w:sz w:val="23"/>
                <w:szCs w:val="23"/>
                <w:b w:val="1"/>
                <w:bCs w:val="1"/>
                <w:color w:val="auto"/>
                <w:vertAlign w:val="superscript"/>
              </w:rPr>
              <w:t>(3)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439,794</w:t>
            </w:r>
          </w:p>
        </w:tc>
      </w:tr>
      <w:tr>
        <w:trPr>
          <w:trHeight w:val="236"/>
        </w:trPr>
        <w:tc>
          <w:tcPr>
            <w:tcW w:w="9120" w:type="dxa"/>
            <w:vAlign w:val="bottom"/>
            <w:gridSpan w:val="7"/>
          </w:tcPr>
          <w:p>
            <w:pPr>
              <w:ind w:left="120"/>
              <w:spacing w:after="0"/>
              <w:rPr>
                <w:sz w:val="20"/>
                <w:szCs w:val="20"/>
                <w:color w:val="auto"/>
              </w:rPr>
            </w:pPr>
            <w:r>
              <w:rPr>
                <w:rFonts w:ascii="Times New Roman" w:cs="Times New Roman" w:eastAsia="Times New Roman" w:hAnsi="Times New Roman"/>
                <w:sz w:val="18"/>
                <w:szCs w:val="18"/>
                <w:i w:val="1"/>
                <w:iCs w:val="1"/>
                <w:color w:val="auto"/>
              </w:rPr>
              <w:t>Adjusted EBITDA from continuing operations % of net sales</w:t>
            </w:r>
          </w:p>
        </w:tc>
        <w:tc>
          <w:tcPr>
            <w:tcW w:w="24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23.2 %</w:t>
            </w:r>
          </w:p>
        </w:tc>
      </w:tr>
      <w:tr>
        <w:trPr>
          <w:trHeight w:val="297"/>
        </w:trPr>
        <w:tc>
          <w:tcPr>
            <w:tcW w:w="3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27, 2025</w:t>
            </w:r>
          </w:p>
        </w:tc>
        <w:tc>
          <w:tcPr>
            <w:tcW w:w="6020" w:type="dxa"/>
            <w:vAlign w:val="bottom"/>
            <w:gridSpan w:val="5"/>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64"/>
        </w:trPr>
        <w:tc>
          <w:tcPr>
            <w:tcW w:w="912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1,749,323</w:t>
            </w:r>
          </w:p>
        </w:tc>
      </w:tr>
      <w:tr>
        <w:trPr>
          <w:trHeight w:val="243"/>
        </w:trPr>
        <w:tc>
          <w:tcPr>
            <w:tcW w:w="9120" w:type="dxa"/>
            <w:vAlign w:val="bottom"/>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rPr>
              <w:t>Income from continuing operations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346,864</w:t>
            </w:r>
          </w:p>
        </w:tc>
      </w:tr>
      <w:tr>
        <w:trPr>
          <w:trHeight w:val="243"/>
        </w:trPr>
        <w:tc>
          <w:tcPr>
            <w:tcW w:w="9120" w:type="dxa"/>
            <w:vAlign w:val="bottom"/>
            <w:gridSpan w:val="7"/>
          </w:tcPr>
          <w:p>
            <w:pPr>
              <w:ind w:left="120"/>
              <w:spacing w:after="0"/>
              <w:rPr>
                <w:sz w:val="20"/>
                <w:szCs w:val="20"/>
                <w:color w:val="auto"/>
              </w:rPr>
            </w:pPr>
            <w:r>
              <w:rPr>
                <w:rFonts w:ascii="Times New Roman" w:cs="Times New Roman" w:eastAsia="Times New Roman" w:hAnsi="Times New Roman"/>
                <w:sz w:val="18"/>
                <w:szCs w:val="18"/>
                <w:i w:val="1"/>
                <w:iCs w:val="1"/>
                <w:color w:val="auto"/>
              </w:rPr>
              <w:t>Income from continuing operations % of net sales</w:t>
            </w:r>
          </w:p>
        </w:tc>
        <w:tc>
          <w:tcPr>
            <w:tcW w:w="24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19.8 %</w:t>
            </w:r>
          </w:p>
        </w:tc>
      </w:tr>
      <w:tr>
        <w:trPr>
          <w:trHeight w:val="243"/>
        </w:trPr>
        <w:tc>
          <w:tcPr>
            <w:tcW w:w="912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Pr>
          <w:p>
            <w:pPr>
              <w:spacing w:after="0"/>
              <w:rPr>
                <w:sz w:val="21"/>
                <w:szCs w:val="21"/>
                <w:color w:val="auto"/>
              </w:rPr>
            </w:pP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22,710</w:t>
            </w:r>
          </w:p>
        </w:tc>
      </w:tr>
      <w:tr>
        <w:trPr>
          <w:trHeight w:val="243"/>
        </w:trPr>
        <w:tc>
          <w:tcPr>
            <w:tcW w:w="912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Pr>
          <w:p>
            <w:pPr>
              <w:spacing w:after="0"/>
              <w:rPr>
                <w:sz w:val="21"/>
                <w:szCs w:val="21"/>
                <w:color w:val="auto"/>
              </w:rPr>
            </w:pP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32,903</w:t>
            </w:r>
          </w:p>
        </w:tc>
      </w:tr>
      <w:tr>
        <w:trPr>
          <w:trHeight w:val="243"/>
        </w:trPr>
        <w:tc>
          <w:tcPr>
            <w:tcW w:w="912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Restructuring expenses</w:t>
            </w:r>
          </w:p>
        </w:tc>
        <w:tc>
          <w:tcPr>
            <w:tcW w:w="240" w:type="dxa"/>
            <w:vAlign w:val="bottom"/>
          </w:tcPr>
          <w:p>
            <w:pPr>
              <w:spacing w:after="0"/>
              <w:rPr>
                <w:sz w:val="21"/>
                <w:szCs w:val="21"/>
                <w:color w:val="auto"/>
              </w:rPr>
            </w:pP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2,232</w:t>
            </w:r>
          </w:p>
        </w:tc>
      </w:tr>
      <w:tr>
        <w:trPr>
          <w:trHeight w:val="243"/>
        </w:trPr>
        <w:tc>
          <w:tcPr>
            <w:tcW w:w="912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Acquisition related adjustments</w:t>
            </w:r>
          </w:p>
        </w:tc>
        <w:tc>
          <w:tcPr>
            <w:tcW w:w="240" w:type="dxa"/>
            <w:vAlign w:val="bottom"/>
          </w:tcPr>
          <w:p>
            <w:pPr>
              <w:spacing w:after="0"/>
              <w:rPr>
                <w:sz w:val="21"/>
                <w:szCs w:val="21"/>
                <w:color w:val="auto"/>
              </w:rPr>
            </w:pP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207</w:t>
            </w:r>
          </w:p>
        </w:tc>
      </w:tr>
      <w:tr>
        <w:trPr>
          <w:trHeight w:val="243"/>
        </w:trPr>
        <w:tc>
          <w:tcPr>
            <w:tcW w:w="912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Stock compensation</w:t>
            </w:r>
          </w:p>
        </w:tc>
        <w:tc>
          <w:tcPr>
            <w:tcW w:w="2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6,168</w:t>
            </w:r>
          </w:p>
        </w:tc>
      </w:tr>
      <w:tr>
        <w:trPr>
          <w:trHeight w:val="237"/>
        </w:trPr>
        <w:tc>
          <w:tcPr>
            <w:tcW w:w="9120" w:type="dxa"/>
            <w:vAlign w:val="bottom"/>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rPr>
              <w:t>Adjusted EBITDA from continuing operations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411,084</w:t>
            </w:r>
          </w:p>
        </w:tc>
      </w:tr>
      <w:tr>
        <w:trPr>
          <w:trHeight w:val="243"/>
        </w:trPr>
        <w:tc>
          <w:tcPr>
            <w:tcW w:w="9120" w:type="dxa"/>
            <w:vAlign w:val="bottom"/>
            <w:gridSpan w:val="7"/>
          </w:tcPr>
          <w:p>
            <w:pPr>
              <w:ind w:left="120"/>
              <w:spacing w:after="0"/>
              <w:rPr>
                <w:sz w:val="20"/>
                <w:szCs w:val="20"/>
                <w:color w:val="auto"/>
              </w:rPr>
            </w:pPr>
            <w:r>
              <w:rPr>
                <w:rFonts w:ascii="Times New Roman" w:cs="Times New Roman" w:eastAsia="Times New Roman" w:hAnsi="Times New Roman"/>
                <w:sz w:val="18"/>
                <w:szCs w:val="18"/>
                <w:i w:val="1"/>
                <w:iCs w:val="1"/>
                <w:color w:val="auto"/>
              </w:rPr>
              <w:t>Adjusted EBITDA from continuing operations % of net sales</w:t>
            </w:r>
          </w:p>
        </w:tc>
        <w:tc>
          <w:tcPr>
            <w:tcW w:w="24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23.5 %</w:t>
            </w:r>
          </w:p>
        </w:tc>
      </w:tr>
    </w:tbl>
    <w:p>
      <w:pPr>
        <w:spacing w:after="0" w:line="139" w:lineRule="exact"/>
        <w:rPr>
          <w:sz w:val="20"/>
          <w:szCs w:val="20"/>
          <w:color w:val="auto"/>
        </w:rPr>
      </w:pPr>
    </w:p>
    <w:p>
      <w:pPr>
        <w:ind w:right="140" w:firstLine="6"/>
        <w:spacing w:after="0" w:line="241" w:lineRule="auto"/>
        <w:tabs>
          <w:tab w:leader="none" w:pos="204"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corporate and other general company expenses, which impact Adjusted EBITDA, of $54.5 million and $58.6 million for the nine months ended October 3, 2026 and September 27, 2025, respectively.</w:t>
      </w:r>
    </w:p>
    <w:p>
      <w:pPr>
        <w:spacing w:after="0" w:line="68" w:lineRule="exact"/>
        <w:rPr>
          <w:rFonts w:ascii="Times New Roman" w:cs="Times New Roman" w:eastAsia="Times New Roman" w:hAnsi="Times New Roman"/>
          <w:sz w:val="14"/>
          <w:szCs w:val="14"/>
          <w:color w:val="auto"/>
        </w:rPr>
      </w:pPr>
    </w:p>
    <w:p>
      <w:pPr>
        <w:ind w:right="180" w:firstLine="6"/>
        <w:spacing w:after="0" w:line="241" w:lineRule="auto"/>
        <w:tabs>
          <w:tab w:leader="none" w:pos="191"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Brewing closure-related charges for the nine months ended October 3, 2026 included $20.0 million of non-cash impairments of long-lived assets, $5.5 million of non-cash other asset write-downs and $0.4 million of severance.</w:t>
      </w:r>
    </w:p>
    <w:p>
      <w:pPr>
        <w:spacing w:after="0" w:line="68"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exchange rates favorably impacted Adjusted EBITDA by $1.6 million for the nine months ended October 3, 2026.</w:t>
      </w:r>
    </w:p>
    <w:p>
      <w:pPr>
        <w:sectPr>
          <w:pgSz w:w="11900" w:h="16838" w:orient="portrait"/>
          <w:cols w:equalWidth="0" w:num="1">
            <w:col w:w="11220"/>
          </w:cols>
          <w:pgMar w:left="340" w:top="868" w:right="3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THE MIDDLEBY CORPORATION</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NON-GAAP INFORMATION</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(Amounts in 000’s, Except Per Share Information)</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(Unaudited)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3rd Qtr, 2026</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3rd Qtr, 2025</w:t>
            </w:r>
          </w:p>
        </w:tc>
        <w:tc>
          <w:tcPr>
            <w:tcW w:w="0" w:type="dxa"/>
            <w:vAlign w:val="bottom"/>
          </w:tcPr>
          <w:p>
            <w:pPr>
              <w:spacing w:after="0"/>
              <w:rPr>
                <w:sz w:val="1"/>
                <w:szCs w:val="1"/>
                <w:color w:val="auto"/>
              </w:rPr>
            </w:pPr>
          </w:p>
        </w:tc>
      </w:tr>
      <w:tr>
        <w:trPr>
          <w:trHeight w:val="172"/>
        </w:trPr>
        <w:tc>
          <w:tcPr>
            <w:tcW w:w="6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4"/>
                <w:szCs w:val="14"/>
                <w:color w:val="auto"/>
              </w:rPr>
            </w:pPr>
          </w:p>
        </w:tc>
        <w:tc>
          <w:tcPr>
            <w:tcW w:w="1080" w:type="dxa"/>
            <w:vAlign w:val="bottom"/>
            <w:gridSpan w:val="3"/>
          </w:tcPr>
          <w:p>
            <w:pPr>
              <w:jc w:val="center"/>
              <w:ind w:right="100"/>
              <w:spacing w:after="0" w:line="172" w:lineRule="exact"/>
              <w:rPr>
                <w:sz w:val="20"/>
                <w:szCs w:val="20"/>
                <w:color w:val="auto"/>
              </w:rPr>
            </w:pPr>
            <w:r>
              <w:rPr>
                <w:rFonts w:ascii="Times New Roman" w:cs="Times New Roman" w:eastAsia="Times New Roman" w:hAnsi="Times New Roman"/>
                <w:sz w:val="16"/>
                <w:szCs w:val="16"/>
                <w:b w:val="1"/>
                <w:bCs w:val="1"/>
                <w:color w:val="auto"/>
              </w:rPr>
              <w:t>Diluted per</w:t>
            </w:r>
          </w:p>
        </w:tc>
        <w:tc>
          <w:tcPr>
            <w:tcW w:w="260" w:type="dxa"/>
            <w:vAlign w:val="bottom"/>
          </w:tcPr>
          <w:p>
            <w:pPr>
              <w:spacing w:after="0"/>
              <w:rPr>
                <w:sz w:val="14"/>
                <w:szCs w:val="14"/>
                <w:color w:val="auto"/>
              </w:rPr>
            </w:pPr>
          </w:p>
        </w:tc>
        <w:tc>
          <w:tcPr>
            <w:tcW w:w="78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4"/>
                <w:szCs w:val="14"/>
                <w:color w:val="auto"/>
              </w:rPr>
            </w:pPr>
          </w:p>
        </w:tc>
        <w:tc>
          <w:tcPr>
            <w:tcW w:w="980" w:type="dxa"/>
            <w:vAlign w:val="bottom"/>
            <w:gridSpan w:val="2"/>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rPr>
              <w:t>Diluted per</w:t>
            </w:r>
          </w:p>
        </w:tc>
        <w:tc>
          <w:tcPr>
            <w:tcW w:w="0" w:type="dxa"/>
            <w:vAlign w:val="bottom"/>
          </w:tcPr>
          <w:p>
            <w:pPr>
              <w:spacing w:after="0"/>
              <w:rPr>
                <w:sz w:val="1"/>
                <w:szCs w:val="1"/>
                <w:color w:val="auto"/>
              </w:rPr>
            </w:pPr>
          </w:p>
        </w:tc>
      </w:tr>
      <w:tr>
        <w:trPr>
          <w:trHeight w:val="214"/>
        </w:trPr>
        <w:tc>
          <w:tcPr>
            <w:tcW w:w="6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0" w:type="dxa"/>
            <w:vAlign w:val="bottom"/>
          </w:tcPr>
          <w:p>
            <w:pPr>
              <w:spacing w:after="0"/>
              <w:rPr>
                <w:sz w:val="1"/>
                <w:szCs w:val="1"/>
                <w:color w:val="auto"/>
              </w:rPr>
            </w:pPr>
          </w:p>
        </w:tc>
      </w:tr>
      <w:tr>
        <w:trPr>
          <w:trHeight w:val="219"/>
        </w:trPr>
        <w:tc>
          <w:tcPr>
            <w:tcW w:w="6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earnings from continuing operations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19,368</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0.43</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78,984</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1.55</w:t>
            </w:r>
          </w:p>
        </w:tc>
        <w:tc>
          <w:tcPr>
            <w:tcW w:w="0" w:type="dxa"/>
            <w:vAlign w:val="bottom"/>
          </w:tcPr>
          <w:p>
            <w:pPr>
              <w:spacing w:after="0"/>
              <w:rPr>
                <w:sz w:val="1"/>
                <w:szCs w:val="1"/>
                <w:color w:val="auto"/>
              </w:rPr>
            </w:pPr>
          </w:p>
        </w:tc>
      </w:tr>
      <w:tr>
        <w:trPr>
          <w:trHeight w:val="249"/>
        </w:trPr>
        <w:tc>
          <w:tcPr>
            <w:tcW w:w="6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w:t>
            </w:r>
            <w:r>
              <w:rPr>
                <w:rFonts w:ascii="Times New Roman" w:cs="Times New Roman" w:eastAsia="Times New Roman" w:hAnsi="Times New Roman"/>
                <w:sz w:val="21"/>
                <w:szCs w:val="21"/>
                <w:color w:val="auto"/>
                <w:vertAlign w:val="superscript"/>
              </w:rPr>
              <w:t>(1)</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0" w:type="dxa"/>
            <w:vAlign w:val="bottom"/>
          </w:tcPr>
          <w:p>
            <w:pPr>
              <w:spacing w:after="0"/>
              <w:rPr>
                <w:sz w:val="1"/>
                <w:szCs w:val="1"/>
                <w:color w:val="auto"/>
              </w:rPr>
            </w:pPr>
          </w:p>
        </w:tc>
      </w:tr>
      <w:tr>
        <w:trPr>
          <w:trHeight w:val="210"/>
        </w:trPr>
        <w:tc>
          <w:tcPr>
            <w:tcW w:w="6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Restructuring expenses</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30"/>
        </w:trPr>
        <w:tc>
          <w:tcPr>
            <w:tcW w:w="6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Acquisition related adjustments</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29"/>
        </w:trPr>
        <w:tc>
          <w:tcPr>
            <w:tcW w:w="6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Facility consolidation related expenses</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6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periodic pension benefit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30"/>
        </w:trPr>
        <w:tc>
          <w:tcPr>
            <w:tcW w:w="6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Strategic transaction costs</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6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 in fair value of note receivable</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6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in losses of affiliate, net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38,664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9"/>
        </w:trPr>
        <w:tc>
          <w:tcPr>
            <w:tcW w:w="6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Brewing closure-related charges</w:t>
            </w:r>
            <w:r>
              <w:rPr>
                <w:rFonts w:ascii="Times New Roman" w:cs="Times New Roman" w:eastAsia="Times New Roman" w:hAnsi="Times New Roman"/>
                <w:sz w:val="21"/>
                <w:szCs w:val="21"/>
                <w:color w:val="auto"/>
                <w:vertAlign w:val="superscript"/>
              </w:rPr>
              <w:t>(2)</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25,946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 effect of pre-tax adjustments</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235"/>
        </w:trPr>
        <w:tc>
          <w:tcPr>
            <w:tcW w:w="6920" w:type="dxa"/>
            <w:vAlign w:val="bottom"/>
          </w:tcPr>
          <w:p>
            <w:pPr>
              <w:ind w:left="220"/>
              <w:spacing w:after="0" w:line="236" w:lineRule="exact"/>
              <w:rPr>
                <w:sz w:val="20"/>
                <w:szCs w:val="20"/>
                <w:color w:val="auto"/>
              </w:rPr>
            </w:pPr>
            <w:r>
              <w:rPr>
                <w:rFonts w:ascii="Times New Roman" w:cs="Times New Roman" w:eastAsia="Times New Roman" w:hAnsi="Times New Roman"/>
                <w:sz w:val="16"/>
                <w:szCs w:val="16"/>
                <w:color w:val="auto"/>
              </w:rPr>
              <w:t>Adjustment for shares excluded due to anti-dilution effect on GAAP net earnings</w:t>
            </w:r>
            <w:r>
              <w:rPr>
                <w:rFonts w:ascii="Times New Roman" w:cs="Times New Roman" w:eastAsia="Times New Roman" w:hAnsi="Times New Roman"/>
                <w:sz w:val="21"/>
                <w:szCs w:val="21"/>
                <w:color w:val="auto"/>
                <w:vertAlign w:val="superscript"/>
              </w:rPr>
              <w:t>(3)</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6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net earnings from continuing operations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92,889</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88,073</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1.74</w:t>
            </w:r>
          </w:p>
        </w:tc>
        <w:tc>
          <w:tcPr>
            <w:tcW w:w="0" w:type="dxa"/>
            <w:vAlign w:val="bottom"/>
          </w:tcPr>
          <w:p>
            <w:pPr>
              <w:spacing w:after="0"/>
              <w:rPr>
                <w:sz w:val="1"/>
                <w:szCs w:val="1"/>
                <w:color w:val="auto"/>
              </w:rPr>
            </w:pPr>
          </w:p>
        </w:tc>
      </w:tr>
      <w:tr>
        <w:trPr>
          <w:trHeight w:val="324"/>
        </w:trPr>
        <w:tc>
          <w:tcPr>
            <w:tcW w:w="6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Diluted weighted average number of shares</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44,900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50,908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920" w:type="dxa"/>
            <w:vAlign w:val="bottom"/>
          </w:tcPr>
          <w:p>
            <w:pPr>
              <w:ind w:left="220"/>
              <w:spacing w:after="0" w:line="236" w:lineRule="exact"/>
              <w:rPr>
                <w:sz w:val="20"/>
                <w:szCs w:val="20"/>
                <w:color w:val="auto"/>
              </w:rPr>
            </w:pPr>
            <w:r>
              <w:rPr>
                <w:rFonts w:ascii="Times New Roman" w:cs="Times New Roman" w:eastAsia="Times New Roman" w:hAnsi="Times New Roman"/>
                <w:sz w:val="16"/>
                <w:szCs w:val="16"/>
                <w:color w:val="auto"/>
              </w:rPr>
              <w:t>Adjustment for shares excluded due to anti-dilution effect on GAAP net earnings</w:t>
            </w:r>
            <w:r>
              <w:rPr>
                <w:rFonts w:ascii="Times New Roman" w:cs="Times New Roman" w:eastAsia="Times New Roman" w:hAnsi="Times New Roman"/>
                <w:sz w:val="21"/>
                <w:szCs w:val="21"/>
                <w:color w:val="auto"/>
                <w:vertAlign w:val="superscript"/>
              </w:rPr>
              <w:t>(3)</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6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diluted weighted average number of shares</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44,900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50,574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7"/>
        </w:trPr>
        <w:tc>
          <w:tcPr>
            <w:tcW w:w="69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9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3rd Qtr, 2026</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3rd Qtr, 2025</w:t>
            </w:r>
          </w:p>
        </w:tc>
        <w:tc>
          <w:tcPr>
            <w:tcW w:w="0" w:type="dxa"/>
            <w:vAlign w:val="bottom"/>
          </w:tcPr>
          <w:p>
            <w:pPr>
              <w:spacing w:after="0"/>
              <w:rPr>
                <w:sz w:val="1"/>
                <w:szCs w:val="1"/>
                <w:color w:val="auto"/>
              </w:rPr>
            </w:pPr>
          </w:p>
        </w:tc>
      </w:tr>
      <w:tr>
        <w:trPr>
          <w:trHeight w:val="172"/>
        </w:trPr>
        <w:tc>
          <w:tcPr>
            <w:tcW w:w="6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4"/>
                <w:szCs w:val="14"/>
                <w:color w:val="auto"/>
              </w:rPr>
            </w:pPr>
          </w:p>
        </w:tc>
        <w:tc>
          <w:tcPr>
            <w:tcW w:w="1080" w:type="dxa"/>
            <w:vAlign w:val="bottom"/>
            <w:gridSpan w:val="3"/>
          </w:tcPr>
          <w:p>
            <w:pPr>
              <w:jc w:val="center"/>
              <w:ind w:right="100"/>
              <w:spacing w:after="0" w:line="172" w:lineRule="exact"/>
              <w:rPr>
                <w:sz w:val="20"/>
                <w:szCs w:val="20"/>
                <w:color w:val="auto"/>
              </w:rPr>
            </w:pPr>
            <w:r>
              <w:rPr>
                <w:rFonts w:ascii="Times New Roman" w:cs="Times New Roman" w:eastAsia="Times New Roman" w:hAnsi="Times New Roman"/>
                <w:sz w:val="16"/>
                <w:szCs w:val="16"/>
                <w:b w:val="1"/>
                <w:bCs w:val="1"/>
                <w:color w:val="auto"/>
              </w:rPr>
              <w:t>Diluted per</w:t>
            </w:r>
          </w:p>
        </w:tc>
        <w:tc>
          <w:tcPr>
            <w:tcW w:w="260" w:type="dxa"/>
            <w:vAlign w:val="bottom"/>
          </w:tcPr>
          <w:p>
            <w:pPr>
              <w:spacing w:after="0"/>
              <w:rPr>
                <w:sz w:val="14"/>
                <w:szCs w:val="14"/>
                <w:color w:val="auto"/>
              </w:rPr>
            </w:pPr>
          </w:p>
        </w:tc>
        <w:tc>
          <w:tcPr>
            <w:tcW w:w="78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4"/>
                <w:szCs w:val="14"/>
                <w:color w:val="auto"/>
              </w:rPr>
            </w:pPr>
          </w:p>
        </w:tc>
        <w:tc>
          <w:tcPr>
            <w:tcW w:w="980" w:type="dxa"/>
            <w:vAlign w:val="bottom"/>
            <w:gridSpan w:val="2"/>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rPr>
              <w:t>Diluted per</w:t>
            </w:r>
          </w:p>
        </w:tc>
        <w:tc>
          <w:tcPr>
            <w:tcW w:w="0" w:type="dxa"/>
            <w:vAlign w:val="bottom"/>
          </w:tcPr>
          <w:p>
            <w:pPr>
              <w:spacing w:after="0"/>
              <w:rPr>
                <w:sz w:val="1"/>
                <w:szCs w:val="1"/>
                <w:color w:val="auto"/>
              </w:rPr>
            </w:pPr>
          </w:p>
        </w:tc>
      </w:tr>
      <w:tr>
        <w:trPr>
          <w:trHeight w:val="214"/>
        </w:trPr>
        <w:tc>
          <w:tcPr>
            <w:tcW w:w="6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0" w:type="dxa"/>
            <w:vAlign w:val="bottom"/>
          </w:tcPr>
          <w:p>
            <w:pPr>
              <w:spacing w:after="0"/>
              <w:rPr>
                <w:sz w:val="1"/>
                <w:szCs w:val="1"/>
                <w:color w:val="auto"/>
              </w:rPr>
            </w:pPr>
          </w:p>
        </w:tc>
      </w:tr>
      <w:tr>
        <w:trPr>
          <w:trHeight w:val="219"/>
        </w:trPr>
        <w:tc>
          <w:tcPr>
            <w:tcW w:w="6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earnings from continuing operations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132,195</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2.88</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211,700</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4.00</w:t>
            </w:r>
          </w:p>
        </w:tc>
        <w:tc>
          <w:tcPr>
            <w:tcW w:w="0" w:type="dxa"/>
            <w:vAlign w:val="bottom"/>
          </w:tcPr>
          <w:p>
            <w:pPr>
              <w:spacing w:after="0"/>
              <w:rPr>
                <w:sz w:val="1"/>
                <w:szCs w:val="1"/>
                <w:color w:val="auto"/>
              </w:rPr>
            </w:pPr>
          </w:p>
        </w:tc>
      </w:tr>
      <w:tr>
        <w:trPr>
          <w:trHeight w:val="249"/>
        </w:trPr>
        <w:tc>
          <w:tcPr>
            <w:tcW w:w="6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w:t>
            </w:r>
            <w:r>
              <w:rPr>
                <w:rFonts w:ascii="Times New Roman" w:cs="Times New Roman" w:eastAsia="Times New Roman" w:hAnsi="Times New Roman"/>
                <w:sz w:val="21"/>
                <w:szCs w:val="21"/>
                <w:color w:val="auto"/>
                <w:vertAlign w:val="superscript"/>
              </w:rPr>
              <w:t>(1)</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34,342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38,543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0.73</w:t>
            </w:r>
          </w:p>
        </w:tc>
        <w:tc>
          <w:tcPr>
            <w:tcW w:w="0" w:type="dxa"/>
            <w:vAlign w:val="bottom"/>
          </w:tcPr>
          <w:p>
            <w:pPr>
              <w:spacing w:after="0"/>
              <w:rPr>
                <w:sz w:val="1"/>
                <w:szCs w:val="1"/>
                <w:color w:val="auto"/>
              </w:rPr>
            </w:pPr>
          </w:p>
        </w:tc>
      </w:tr>
      <w:tr>
        <w:trPr>
          <w:trHeight w:val="210"/>
        </w:trPr>
        <w:tc>
          <w:tcPr>
            <w:tcW w:w="6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Restructuring expenses</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230"/>
        </w:trPr>
        <w:tc>
          <w:tcPr>
            <w:tcW w:w="6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Acquisition related adjustments</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6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Facility consolidation related expenses</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6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periodic pension benefit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229"/>
        </w:trPr>
        <w:tc>
          <w:tcPr>
            <w:tcW w:w="6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Strategic transaction costs</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6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 in fair value of note receivable</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6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in losses of affiliate, net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67,559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9"/>
        </w:trPr>
        <w:tc>
          <w:tcPr>
            <w:tcW w:w="6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Brewing closure-related charges</w:t>
            </w:r>
            <w:r>
              <w:rPr>
                <w:rFonts w:ascii="Times New Roman" w:cs="Times New Roman" w:eastAsia="Times New Roman" w:hAnsi="Times New Roman"/>
                <w:sz w:val="21"/>
                <w:szCs w:val="21"/>
                <w:color w:val="auto"/>
                <w:vertAlign w:val="superscript"/>
              </w:rPr>
              <w:t>(2)</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25,946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 effect of pre-tax adjustments</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0" w:type="dxa"/>
            <w:vAlign w:val="bottom"/>
          </w:tcPr>
          <w:p>
            <w:pPr>
              <w:spacing w:after="0"/>
              <w:rPr>
                <w:sz w:val="1"/>
                <w:szCs w:val="1"/>
                <w:color w:val="auto"/>
              </w:rPr>
            </w:pPr>
          </w:p>
        </w:tc>
      </w:tr>
      <w:tr>
        <w:trPr>
          <w:trHeight w:val="236"/>
        </w:trPr>
        <w:tc>
          <w:tcPr>
            <w:tcW w:w="6920" w:type="dxa"/>
            <w:vAlign w:val="bottom"/>
          </w:tcPr>
          <w:p>
            <w:pPr>
              <w:ind w:left="220"/>
              <w:spacing w:after="0" w:line="236" w:lineRule="exact"/>
              <w:rPr>
                <w:sz w:val="20"/>
                <w:szCs w:val="20"/>
                <w:color w:val="auto"/>
              </w:rPr>
            </w:pPr>
            <w:r>
              <w:rPr>
                <w:rFonts w:ascii="Times New Roman" w:cs="Times New Roman" w:eastAsia="Times New Roman" w:hAnsi="Times New Roman"/>
                <w:sz w:val="16"/>
                <w:szCs w:val="16"/>
                <w:color w:val="auto"/>
              </w:rPr>
              <w:t>Adjustment for shares excluded due to anti-dilution effect on GAAP net earnings</w:t>
            </w:r>
            <w:r>
              <w:rPr>
                <w:rFonts w:ascii="Times New Roman" w:cs="Times New Roman" w:eastAsia="Times New Roman" w:hAnsi="Times New Roman"/>
                <w:sz w:val="21"/>
                <w:szCs w:val="21"/>
                <w:color w:val="auto"/>
                <w:vertAlign w:val="superscript"/>
              </w:rPr>
              <w:t>(3)</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217"/>
        </w:trPr>
        <w:tc>
          <w:tcPr>
            <w:tcW w:w="6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net earnings from continuing operations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245,311</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239,590</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4.58</w:t>
            </w:r>
          </w:p>
        </w:tc>
        <w:tc>
          <w:tcPr>
            <w:tcW w:w="0" w:type="dxa"/>
            <w:vAlign w:val="bottom"/>
          </w:tcPr>
          <w:p>
            <w:pPr>
              <w:spacing w:after="0"/>
              <w:rPr>
                <w:sz w:val="1"/>
                <w:szCs w:val="1"/>
                <w:color w:val="auto"/>
              </w:rPr>
            </w:pPr>
          </w:p>
        </w:tc>
      </w:tr>
      <w:tr>
        <w:trPr>
          <w:trHeight w:val="324"/>
        </w:trPr>
        <w:tc>
          <w:tcPr>
            <w:tcW w:w="6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Diluted weighted average number of shares</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45,829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52,895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920" w:type="dxa"/>
            <w:vAlign w:val="bottom"/>
          </w:tcPr>
          <w:p>
            <w:pPr>
              <w:ind w:left="220"/>
              <w:spacing w:after="0" w:line="236" w:lineRule="exact"/>
              <w:rPr>
                <w:sz w:val="20"/>
                <w:szCs w:val="20"/>
                <w:color w:val="auto"/>
              </w:rPr>
            </w:pPr>
            <w:r>
              <w:rPr>
                <w:rFonts w:ascii="Times New Roman" w:cs="Times New Roman" w:eastAsia="Times New Roman" w:hAnsi="Times New Roman"/>
                <w:sz w:val="16"/>
                <w:szCs w:val="16"/>
                <w:color w:val="auto"/>
              </w:rPr>
              <w:t>Adjustment for shares excluded due to anti-dilution effect on GAAP net earnings</w:t>
            </w:r>
            <w:r>
              <w:rPr>
                <w:rFonts w:ascii="Times New Roman" w:cs="Times New Roman" w:eastAsia="Times New Roman" w:hAnsi="Times New Roman"/>
                <w:sz w:val="21"/>
                <w:szCs w:val="21"/>
                <w:color w:val="auto"/>
                <w:vertAlign w:val="superscript"/>
              </w:rPr>
              <w:t>(3)</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6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diluted weighted average number of shares</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45,829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52,271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200" w:hanging="194"/>
        <w:spacing w:after="0"/>
        <w:tabs>
          <w:tab w:leader="none" w:pos="2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amortization of deferred financing costs and convertible notes issuance costs.</w:t>
      </w:r>
    </w:p>
    <w:p>
      <w:pPr>
        <w:spacing w:after="0" w:line="271" w:lineRule="exact"/>
        <w:rPr>
          <w:rFonts w:ascii="Times New Roman" w:cs="Times New Roman" w:eastAsia="Times New Roman" w:hAnsi="Times New Roman"/>
          <w:sz w:val="14"/>
          <w:szCs w:val="14"/>
          <w:color w:val="auto"/>
        </w:rPr>
      </w:pPr>
    </w:p>
    <w:p>
      <w:pPr>
        <w:ind w:right="320" w:firstLine="6"/>
        <w:spacing w:after="0" w:line="261" w:lineRule="auto"/>
        <w:tabs>
          <w:tab w:leader="none" w:pos="191"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Brewing closure-related charges for the three and nine months ended October 3, 2026 included $20.0 million of non-cash impairments of long-lived assets, $5.5 million of non-cash other asset write-downs and $0.4 million of severance.</w:t>
      </w:r>
    </w:p>
    <w:p>
      <w:pPr>
        <w:spacing w:after="0" w:line="68" w:lineRule="exact"/>
        <w:rPr>
          <w:rFonts w:ascii="Times New Roman" w:cs="Times New Roman" w:eastAsia="Times New Roman" w:hAnsi="Times New Roman"/>
          <w:sz w:val="14"/>
          <w:szCs w:val="14"/>
          <w:color w:val="auto"/>
        </w:rPr>
      </w:pPr>
    </w:p>
    <w:p>
      <w:pPr>
        <w:ind w:right="140" w:firstLine="6"/>
        <w:spacing w:after="0" w:line="231" w:lineRule="auto"/>
        <w:tabs>
          <w:tab w:leader="none" w:pos="204"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diluted weighted average number of shares was calculated based on excluding the dilutive effect of shares to be issued upon conversion of the notes to satisfy the amount in excess of the principal since the company's capped call offsets the dilutive impact of the shares underlying the convertible notes. The calculation of adjusted diluted earnings per share excludes the principal portion of the convertible notes as this will always be settled in cash. Given the settlement of the convertible notes in the third quarter of 2025 the weighted average number of shares will no longer require an adjustment in 2026.</w:t>
      </w:r>
    </w:p>
    <w:p>
      <w:pPr>
        <w:sectPr>
          <w:pgSz w:w="11900" w:h="16838" w:orient="portrait"/>
          <w:cols w:equalWidth="0" w:num="1">
            <w:col w:w="11220"/>
          </w:cols>
          <w:pgMar w:left="340" w:top="882" w:right="33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THE MIDDLEBY CORPORATION</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NON-GAAP INFORMATION</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(Amounts in 000’s)</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(Unaudited)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7"/>
        </w:trPr>
        <w:tc>
          <w:tcPr>
            <w:tcW w:w="5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3rd Qtr, 2026</w:t>
            </w:r>
          </w:p>
        </w:tc>
        <w:tc>
          <w:tcPr>
            <w:tcW w:w="16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3rd Qtr, 2025</w:t>
            </w:r>
          </w:p>
        </w:tc>
        <w:tc>
          <w:tcPr>
            <w:tcW w:w="180" w:type="dxa"/>
            <w:vAlign w:val="bottom"/>
          </w:tcPr>
          <w:p>
            <w:pPr>
              <w:spacing w:after="0"/>
              <w:rPr>
                <w:sz w:val="20"/>
                <w:szCs w:val="20"/>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3rd Qtr, 2026</w:t>
            </w:r>
          </w:p>
        </w:tc>
        <w:tc>
          <w:tcPr>
            <w:tcW w:w="180" w:type="dxa"/>
            <w:vAlign w:val="bottom"/>
          </w:tcPr>
          <w:p>
            <w:pPr>
              <w:spacing w:after="0"/>
              <w:rPr>
                <w:sz w:val="20"/>
                <w:szCs w:val="20"/>
                <w:color w:val="auto"/>
              </w:rPr>
            </w:pP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3rd Qtr, 2025</w:t>
            </w:r>
          </w:p>
        </w:tc>
      </w:tr>
      <w:tr>
        <w:trPr>
          <w:trHeight w:val="223"/>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Flows Provided By (Used In):</w:t>
            </w:r>
          </w:p>
        </w:tc>
        <w:tc>
          <w:tcPr>
            <w:tcW w:w="1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r>
      <w:tr>
        <w:trPr>
          <w:trHeight w:val="243"/>
        </w:trPr>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122,597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140,955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258,291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298,748</w:t>
            </w:r>
          </w:p>
        </w:tc>
      </w:tr>
      <w:tr>
        <w:trPr>
          <w:trHeight w:val="252"/>
        </w:trPr>
        <w:tc>
          <w:tcPr>
            <w:tcW w:w="5000" w:type="dxa"/>
            <w:vAlign w:val="bottom"/>
          </w:tcPr>
          <w:p>
            <w:pPr>
              <w:ind w:left="200"/>
              <w:spacing w:after="0" w:line="252" w:lineRule="exact"/>
              <w:rPr>
                <w:sz w:val="20"/>
                <w:szCs w:val="20"/>
                <w:color w:val="auto"/>
              </w:rPr>
            </w:pPr>
            <w:r>
              <w:rPr>
                <w:rFonts w:ascii="Times New Roman" w:cs="Times New Roman" w:eastAsia="Times New Roman" w:hAnsi="Times New Roman"/>
                <w:sz w:val="18"/>
                <w:szCs w:val="18"/>
                <w:color w:val="auto"/>
              </w:rPr>
              <w:t>Investing activities</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546,209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(27,196)</w:t>
            </w:r>
          </w:p>
        </w:tc>
      </w:tr>
      <w:tr>
        <w:trPr>
          <w:trHeight w:val="234"/>
        </w:trPr>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(457,932)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(854,053)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(853,848)</w:t>
            </w:r>
          </w:p>
        </w:tc>
      </w:tr>
      <w:tr>
        <w:trPr>
          <w:trHeight w:val="338"/>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43"/>
        </w:trPr>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flow from 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122,597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140,955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258,291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298,748</w:t>
            </w:r>
          </w:p>
        </w:tc>
      </w:tr>
      <w:tr>
        <w:trPr>
          <w:trHeight w:val="243"/>
        </w:trPr>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Capital expenditures</w:t>
            </w: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(5,801)</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(7,283)</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(18,366)</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(22,624)</w:t>
            </w:r>
          </w:p>
        </w:tc>
      </w:tr>
      <w:tr>
        <w:trPr>
          <w:trHeight w:val="237"/>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Free cash flow</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116,796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133,672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239,925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276,124</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Includes proceeds from sale of 51% interest in Residential Kitchen Equipment Group, net of cash transferred, of $564.6 million for the nine months ended October 3, 2026.</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Oct 3, 2026</w:t>
            </w:r>
          </w:p>
        </w:tc>
        <w:tc>
          <w:tcPr>
            <w:tcW w:w="260" w:type="dxa"/>
            <w:vAlign w:val="bottom"/>
          </w:tcPr>
          <w:p>
            <w:pPr>
              <w:spacing w:after="0"/>
              <w:rPr>
                <w:sz w:val="20"/>
                <w:szCs w:val="20"/>
                <w:color w:val="auto"/>
              </w:rPr>
            </w:pPr>
          </w:p>
        </w:tc>
        <w:tc>
          <w:tcPr>
            <w:tcW w:w="17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Jan 3, 2026</w:t>
            </w:r>
          </w:p>
        </w:tc>
      </w:tr>
      <w:tr>
        <w:trPr>
          <w:trHeight w:val="23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40,320</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40,431</w:t>
            </w:r>
          </w:p>
        </w:tc>
      </w:tr>
      <w:tr>
        <w:trPr>
          <w:trHeight w:val="243"/>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1,708,352</w:t>
            </w:r>
          </w:p>
        </w:tc>
        <w:tc>
          <w:tcPr>
            <w:tcW w:w="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2,101,075</w:t>
            </w:r>
          </w:p>
        </w:tc>
      </w:tr>
      <w:tr>
        <w:trPr>
          <w:trHeight w:val="237"/>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3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1,748,672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2,141,506</w:t>
            </w:r>
          </w:p>
        </w:tc>
      </w:tr>
      <w:tr>
        <w:trPr>
          <w:trHeight w:val="243"/>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3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(104,327)</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(131,657)</w:t>
            </w:r>
          </w:p>
        </w:tc>
      </w:tr>
      <w:tr>
        <w:trPr>
          <w:trHeight w:val="237"/>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debt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1,644,345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2,009,849</w:t>
            </w:r>
          </w:p>
        </w:tc>
      </w:tr>
      <w:tr>
        <w:trPr>
          <w:trHeight w:val="338"/>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LTM Adjusted EBITDA</w:t>
            </w:r>
          </w:p>
        </w:tc>
        <w:tc>
          <w:tcPr>
            <w:tcW w:w="3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579,737</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43"/>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Leverage Ratio</w:t>
            </w:r>
          </w:p>
        </w:tc>
        <w:tc>
          <w:tcPr>
            <w:tcW w:w="340" w:type="dxa"/>
            <w:vAlign w:val="bottom"/>
          </w:tcPr>
          <w:p>
            <w:pPr>
              <w:spacing w:after="0"/>
              <w:rPr>
                <w:sz w:val="21"/>
                <w:szCs w:val="21"/>
                <w:color w:val="auto"/>
              </w:rPr>
            </w:pPr>
          </w:p>
        </w:tc>
        <w:tc>
          <w:tcPr>
            <w:tcW w:w="1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2.8x</w:t>
            </w:r>
          </w:p>
        </w:tc>
        <w:tc>
          <w:tcPr>
            <w:tcW w:w="26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410"/>
        </w:trPr>
        <w:tc>
          <w:tcPr>
            <w:tcW w:w="7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7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3rd Qtr, 2026</w:t>
            </w:r>
          </w:p>
        </w:tc>
      </w:tr>
      <w:tr>
        <w:trPr>
          <w:trHeight w:val="237"/>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tcPr>
          <w:p>
            <w:pPr>
              <w:spacing w:after="0"/>
              <w:rPr>
                <w:sz w:val="20"/>
                <w:szCs w:val="20"/>
                <w:color w:val="auto"/>
              </w:rPr>
            </w:pPr>
          </w:p>
        </w:tc>
        <w:tc>
          <w:tcPr>
            <w:tcW w:w="1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652,575</w:t>
            </w:r>
          </w:p>
        </w:tc>
      </w:tr>
      <w:tr>
        <w:trPr>
          <w:trHeight w:val="243"/>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Less: Brewing businesses</w:t>
            </w: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(5,392)</w:t>
            </w:r>
          </w:p>
        </w:tc>
      </w:tr>
      <w:tr>
        <w:trPr>
          <w:trHeight w:val="237"/>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Net sales excluding Brewing businesses</w:t>
            </w:r>
          </w:p>
        </w:tc>
        <w:tc>
          <w:tcPr>
            <w:tcW w:w="340" w:type="dxa"/>
            <w:vAlign w:val="bottom"/>
          </w:tcPr>
          <w:p>
            <w:pPr>
              <w:spacing w:after="0"/>
              <w:rPr>
                <w:sz w:val="20"/>
                <w:szCs w:val="20"/>
                <w:color w:val="auto"/>
              </w:rPr>
            </w:pPr>
          </w:p>
        </w:tc>
        <w:tc>
          <w:tcPr>
            <w:tcW w:w="1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647,183</w:t>
            </w:r>
          </w:p>
        </w:tc>
      </w:tr>
      <w:tr>
        <w:trPr>
          <w:trHeight w:val="338"/>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340" w:type="dxa"/>
            <w:vAlign w:val="bottom"/>
          </w:tcPr>
          <w:p>
            <w:pPr>
              <w:spacing w:after="0"/>
              <w:rPr>
                <w:sz w:val="24"/>
                <w:szCs w:val="24"/>
                <w:color w:val="auto"/>
              </w:rPr>
            </w:pPr>
          </w:p>
        </w:tc>
        <w:tc>
          <w:tcPr>
            <w:tcW w:w="1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98,726</w:t>
            </w:r>
          </w:p>
        </w:tc>
      </w:tr>
      <w:tr>
        <w:trPr>
          <w:trHeight w:val="243"/>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Less: Brewing businesses</w:t>
            </w: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27,705</w:t>
            </w:r>
          </w:p>
        </w:tc>
      </w:tr>
      <w:tr>
        <w:trPr>
          <w:trHeight w:val="236"/>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from continuing operations excluding Brewing businesses</w:t>
            </w:r>
          </w:p>
        </w:tc>
        <w:tc>
          <w:tcPr>
            <w:tcW w:w="340" w:type="dxa"/>
            <w:vAlign w:val="bottom"/>
          </w:tcPr>
          <w:p>
            <w:pPr>
              <w:spacing w:after="0"/>
              <w:rPr>
                <w:sz w:val="20"/>
                <w:szCs w:val="20"/>
                <w:color w:val="auto"/>
              </w:rPr>
            </w:pPr>
          </w:p>
        </w:tc>
        <w:tc>
          <w:tcPr>
            <w:tcW w:w="1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126,431</w:t>
            </w:r>
          </w:p>
        </w:tc>
      </w:tr>
      <w:tr>
        <w:trPr>
          <w:trHeight w:val="243"/>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7,895</w:t>
            </w:r>
          </w:p>
        </w:tc>
      </w:tr>
      <w:tr>
        <w:trPr>
          <w:trHeight w:val="243"/>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10,954</w:t>
            </w:r>
          </w:p>
        </w:tc>
      </w:tr>
      <w:tr>
        <w:trPr>
          <w:trHeight w:val="243"/>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expenses</w:t>
            </w: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2,012</w:t>
            </w:r>
          </w:p>
        </w:tc>
      </w:tr>
      <w:tr>
        <w:trPr>
          <w:trHeight w:val="243"/>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 related adjustments</w:t>
            </w: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(996)</w:t>
            </w:r>
          </w:p>
        </w:tc>
      </w:tr>
      <w:tr>
        <w:trPr>
          <w:trHeight w:val="243"/>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Facility consolidation related expenses</w:t>
            </w: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2,796</w:t>
            </w:r>
          </w:p>
        </w:tc>
      </w:tr>
      <w:tr>
        <w:trPr>
          <w:trHeight w:val="243"/>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Strategic transaction costs</w:t>
            </w: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2,331</w:t>
            </w:r>
          </w:p>
        </w:tc>
      </w:tr>
      <w:tr>
        <w:trPr>
          <w:trHeight w:val="243"/>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compensation</w:t>
            </w: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5,755</w:t>
            </w:r>
          </w:p>
        </w:tc>
      </w:tr>
      <w:tr>
        <w:trPr>
          <w:trHeight w:val="237"/>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from continuing operations excluding Brewing businesses</w:t>
            </w:r>
          </w:p>
        </w:tc>
        <w:tc>
          <w:tcPr>
            <w:tcW w:w="340" w:type="dxa"/>
            <w:vAlign w:val="bottom"/>
          </w:tcPr>
          <w:p>
            <w:pPr>
              <w:spacing w:after="0"/>
              <w:rPr>
                <w:sz w:val="20"/>
                <w:szCs w:val="20"/>
                <w:color w:val="auto"/>
              </w:rPr>
            </w:pPr>
          </w:p>
        </w:tc>
        <w:tc>
          <w:tcPr>
            <w:tcW w:w="1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157,178</w:t>
            </w:r>
          </w:p>
        </w:tc>
      </w:tr>
      <w:tr>
        <w:trPr>
          <w:trHeight w:val="338"/>
        </w:trPr>
        <w:tc>
          <w:tcPr>
            <w:tcW w:w="7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Adjusted EBITDA from continuing operations as % of net sales excluding Brewing businesses</w:t>
            </w: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24.3 %</w:t>
            </w:r>
          </w:p>
        </w:tc>
      </w:tr>
    </w:tbl>
    <w:p>
      <w:pPr>
        <w:sectPr>
          <w:pgSz w:w="11900" w:h="16838" w:orient="portrait"/>
          <w:cols w:equalWidth="0" w:num="1">
            <w:col w:w="11220"/>
          </w:cols>
          <w:pgMar w:left="340" w:top="882" w:right="33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THE MIDDLEBY CORPORATION</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NON-GAAP INFORMATION</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(Amounts in 000’s)</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(Unaudited)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1st Qtr, 2026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center"/>
              <w:ind w:right="33"/>
              <w:spacing w:after="0"/>
              <w:rPr>
                <w:sz w:val="20"/>
                <w:szCs w:val="20"/>
                <w:color w:val="auto"/>
              </w:rPr>
            </w:pPr>
            <w:r>
              <w:rPr>
                <w:rFonts w:ascii="Times New Roman" w:cs="Times New Roman" w:eastAsia="Times New Roman" w:hAnsi="Times New Roman"/>
                <w:sz w:val="18"/>
                <w:szCs w:val="18"/>
                <w:b w:val="1"/>
                <w:bCs w:val="1"/>
                <w:color w:val="auto"/>
                <w:w w:val="97"/>
              </w:rPr>
              <w:t>2nd Qtr, 2026</w:t>
            </w:r>
          </w:p>
        </w:tc>
      </w:tr>
      <w:tr>
        <w:trPr>
          <w:trHeight w:val="237"/>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615,536</w:t>
            </w:r>
          </w:p>
        </w:tc>
        <w:tc>
          <w:tcPr>
            <w:tcW w:w="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630,613</w:t>
            </w:r>
          </w:p>
        </w:tc>
      </w:tr>
      <w:tr>
        <w:trPr>
          <w:trHeight w:val="338"/>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from continuing operations</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110,669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120,341</w:t>
            </w:r>
          </w:p>
        </w:tc>
      </w:tr>
      <w:tr>
        <w:trPr>
          <w:trHeight w:val="243"/>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7,795</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7,843</w:t>
            </w:r>
          </w:p>
        </w:tc>
      </w:tr>
      <w:tr>
        <w:trPr>
          <w:trHeight w:val="243"/>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10,558</w:t>
            </w:r>
          </w:p>
        </w:tc>
      </w:tr>
      <w:tr>
        <w:trPr>
          <w:trHeight w:val="243"/>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expenses</w:t>
            </w: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571</w:t>
            </w:r>
          </w:p>
        </w:tc>
      </w:tr>
      <w:tr>
        <w:trPr>
          <w:trHeight w:val="243"/>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 related adjustments</w:t>
            </w: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(1,937)</w:t>
            </w:r>
          </w:p>
        </w:tc>
      </w:tr>
      <w:tr>
        <w:trPr>
          <w:trHeight w:val="243"/>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Facility consolidation related expenses</w:t>
            </w: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828</w:t>
            </w:r>
          </w:p>
        </w:tc>
      </w:tr>
      <w:tr>
        <w:trPr>
          <w:trHeight w:val="243"/>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Strategic transaction costs</w:t>
            </w: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410</w:t>
            </w:r>
          </w:p>
        </w:tc>
      </w:tr>
      <w:tr>
        <w:trPr>
          <w:trHeight w:val="243"/>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compensation</w:t>
            </w: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8,531</w:t>
            </w:r>
          </w:p>
        </w:tc>
        <w:tc>
          <w:tcPr>
            <w:tcW w:w="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6,004</w:t>
            </w:r>
          </w:p>
        </w:tc>
      </w:tr>
      <w:tr>
        <w:trPr>
          <w:trHeight w:val="237"/>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from continuing operations</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139,392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144,618</w:t>
            </w:r>
          </w:p>
        </w:tc>
      </w:tr>
      <w:tr>
        <w:trPr>
          <w:trHeight w:val="581"/>
        </w:trPr>
        <w:tc>
          <w:tcPr>
            <w:tcW w:w="4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1st Qtr, 2025</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2nd Qtr, 2025</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7"/>
              </w:rPr>
              <w:t>3rd Qtr, 2025</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4th Qtr, 2025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Full Year 2025</w:t>
            </w:r>
          </w:p>
        </w:tc>
      </w:tr>
      <w:tr>
        <w:trPr>
          <w:trHeight w:val="237"/>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562,717</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580,605</w:t>
            </w:r>
          </w:p>
        </w:tc>
        <w:tc>
          <w:tcPr>
            <w:tcW w:w="40" w:type="dxa"/>
            <w:vAlign w:val="bottom"/>
          </w:tcPr>
          <w:p>
            <w:pPr>
              <w:spacing w:after="0"/>
              <w:rPr>
                <w:sz w:val="20"/>
                <w:szCs w:val="20"/>
                <w:color w:val="auto"/>
              </w:rPr>
            </w:pPr>
          </w:p>
        </w:tc>
        <w:tc>
          <w:tcPr>
            <w:tcW w:w="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606,001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601,724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2,351,047</w:t>
            </w:r>
          </w:p>
        </w:tc>
      </w:tr>
      <w:tr>
        <w:trPr>
          <w:trHeight w:val="338"/>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from continuing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108,063</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115,010</w:t>
            </w:r>
          </w:p>
        </w:tc>
        <w:tc>
          <w:tcPr>
            <w:tcW w:w="40" w:type="dxa"/>
            <w:vAlign w:val="bottom"/>
          </w:tcPr>
          <w:p>
            <w:pPr>
              <w:spacing w:after="0"/>
              <w:rPr>
                <w:sz w:val="24"/>
                <w:szCs w:val="24"/>
                <w:color w:val="auto"/>
              </w:rPr>
            </w:pPr>
          </w:p>
        </w:tc>
        <w:tc>
          <w:tcPr>
            <w:tcW w:w="28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123,791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108,374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455,238</w:t>
            </w:r>
          </w:p>
        </w:tc>
      </w:tr>
      <w:tr>
        <w:trPr>
          <w:trHeight w:val="243"/>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7,455</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30,987</w:t>
            </w:r>
          </w:p>
        </w:tc>
      </w:tr>
      <w:tr>
        <w:trPr>
          <w:trHeight w:val="243"/>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11,294</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43,557</w:t>
            </w:r>
          </w:p>
        </w:tc>
      </w:tr>
      <w:tr>
        <w:trPr>
          <w:trHeight w:val="243"/>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expenses</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w:t>
            </w:r>
          </w:p>
        </w:tc>
      </w:tr>
      <w:tr>
        <w:trPr>
          <w:trHeight w:val="243"/>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 related adjustments</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r>
      <w:tr>
        <w:trPr>
          <w:trHeight w:val="243"/>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compensation</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10,866</w:t>
            </w:r>
          </w:p>
        </w:tc>
      </w:tr>
      <w:tr>
        <w:trPr>
          <w:trHeight w:val="243"/>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Impairments</w:t>
            </w: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9,298</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9,298</w:t>
            </w:r>
          </w:p>
        </w:tc>
      </w:tr>
      <w:tr>
        <w:trPr>
          <w:trHeight w:val="237"/>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from continuing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129,713</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139,140</w:t>
            </w:r>
          </w:p>
        </w:tc>
        <w:tc>
          <w:tcPr>
            <w:tcW w:w="40" w:type="dxa"/>
            <w:vAlign w:val="bottom"/>
          </w:tcPr>
          <w:p>
            <w:pPr>
              <w:spacing w:after="0"/>
              <w:rPr>
                <w:sz w:val="20"/>
                <w:szCs w:val="20"/>
                <w:color w:val="auto"/>
              </w:rPr>
            </w:pPr>
          </w:p>
        </w:tc>
        <w:tc>
          <w:tcPr>
            <w:tcW w:w="28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142,231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139,943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551,027</w:t>
            </w:r>
          </w:p>
        </w:tc>
      </w:tr>
      <w:tr>
        <w:trPr>
          <w:trHeight w:val="550"/>
        </w:trPr>
        <w:tc>
          <w:tcPr>
            <w:tcW w:w="4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right"/>
              <w:ind w:right="855"/>
              <w:spacing w:after="0"/>
              <w:rPr>
                <w:sz w:val="20"/>
                <w:szCs w:val="20"/>
                <w:color w:val="auto"/>
              </w:rPr>
            </w:pPr>
            <w:r>
              <w:rPr>
                <w:rFonts w:ascii="Times New Roman" w:cs="Times New Roman" w:eastAsia="Times New Roman" w:hAnsi="Times New Roman"/>
                <w:sz w:val="16"/>
                <w:szCs w:val="16"/>
                <w:b w:val="1"/>
                <w:bCs w:val="1"/>
                <w:color w:val="auto"/>
              </w:rPr>
              <w:t>1st Qtr, 2026</w:t>
            </w:r>
          </w:p>
        </w:tc>
        <w:tc>
          <w:tcPr>
            <w:tcW w:w="140" w:type="dxa"/>
            <w:vAlign w:val="bottom"/>
            <w:gridSpan w:val="2"/>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7"/>
          </w:tcPr>
          <w:p>
            <w:pPr>
              <w:jc w:val="right"/>
              <w:ind w:right="813"/>
              <w:spacing w:after="0"/>
              <w:rPr>
                <w:sz w:val="20"/>
                <w:szCs w:val="20"/>
                <w:color w:val="auto"/>
              </w:rPr>
            </w:pPr>
            <w:r>
              <w:rPr>
                <w:rFonts w:ascii="Times New Roman" w:cs="Times New Roman" w:eastAsia="Times New Roman" w:hAnsi="Times New Roman"/>
                <w:sz w:val="16"/>
                <w:szCs w:val="16"/>
                <w:b w:val="1"/>
                <w:bCs w:val="1"/>
                <w:color w:val="auto"/>
              </w:rPr>
              <w:t>2nd Qtr, 2026</w:t>
            </w:r>
          </w:p>
        </w:tc>
      </w:tr>
      <w:tr>
        <w:trPr>
          <w:trHeight w:val="223"/>
        </w:trPr>
        <w:tc>
          <w:tcPr>
            <w:tcW w:w="4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Diluted per share</w:t>
            </w:r>
          </w:p>
        </w:tc>
        <w:tc>
          <w:tcPr>
            <w:tcW w:w="140" w:type="dxa"/>
            <w:vAlign w:val="bottom"/>
            <w:gridSpan w:val="2"/>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Diluted per share</w:t>
            </w:r>
          </w:p>
        </w:tc>
      </w:tr>
      <w:tr>
        <w:trPr>
          <w:trHeight w:val="220"/>
        </w:trPr>
        <w:tc>
          <w:tcPr>
            <w:tcW w:w="4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earnings from continuing operations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67,807</w:t>
            </w:r>
          </w:p>
        </w:tc>
        <w:tc>
          <w:tcPr>
            <w:tcW w:w="4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45,020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0.99</w:t>
            </w:r>
          </w:p>
        </w:tc>
      </w:tr>
      <w:tr>
        <w:trPr>
          <w:trHeight w:val="249"/>
        </w:trPr>
        <w:tc>
          <w:tcPr>
            <w:tcW w:w="4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w:t>
            </w:r>
          </w:p>
        </w:tc>
      </w:tr>
      <w:tr>
        <w:trPr>
          <w:trHeight w:val="210"/>
        </w:trPr>
        <w:tc>
          <w:tcPr>
            <w:tcW w:w="4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Restructuring expenses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229"/>
        </w:trPr>
        <w:tc>
          <w:tcPr>
            <w:tcW w:w="4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Acquisition related adjustments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r>
      <w:tr>
        <w:trPr>
          <w:trHeight w:val="230"/>
        </w:trPr>
        <w:tc>
          <w:tcPr>
            <w:tcW w:w="4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Facility consolidation related expenses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r>
      <w:tr>
        <w:trPr>
          <w:trHeight w:val="230"/>
        </w:trPr>
        <w:tc>
          <w:tcPr>
            <w:tcW w:w="4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Strategic transaction costs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230"/>
        </w:trPr>
        <w:tc>
          <w:tcPr>
            <w:tcW w:w="4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periodic pension benefit</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r>
      <w:tr>
        <w:trPr>
          <w:trHeight w:val="229"/>
        </w:trPr>
        <w:tc>
          <w:tcPr>
            <w:tcW w:w="4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 in fair value of note receivable</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r>
      <w:tr>
        <w:trPr>
          <w:trHeight w:val="230"/>
        </w:trPr>
        <w:tc>
          <w:tcPr>
            <w:tcW w:w="4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Equity in losses of affiliate, net</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28,895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0.64</w:t>
            </w:r>
          </w:p>
        </w:tc>
      </w:tr>
      <w:tr>
        <w:trPr>
          <w:trHeight w:val="233"/>
        </w:trPr>
        <w:tc>
          <w:tcPr>
            <w:tcW w:w="4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 effect of pre-tax adjustments</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(0.05)</w:t>
            </w:r>
          </w:p>
        </w:tc>
      </w:tr>
      <w:tr>
        <w:trPr>
          <w:trHeight w:val="220"/>
        </w:trPr>
        <w:tc>
          <w:tcPr>
            <w:tcW w:w="4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net earnings from continuing operations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74,015</w:t>
            </w:r>
          </w:p>
        </w:tc>
        <w:tc>
          <w:tcPr>
            <w:tcW w:w="4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77,808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1.72</w:t>
            </w:r>
          </w:p>
        </w:tc>
      </w:tr>
      <w:tr>
        <w:trPr>
          <w:trHeight w:val="327"/>
        </w:trPr>
        <w:tc>
          <w:tcPr>
            <w:tcW w:w="4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Diluted weighted average number of shares</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47,243</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45,343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20"/>
        </w:trPr>
        <w:tc>
          <w:tcPr>
            <w:tcW w:w="4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diluted weighted average number of shares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47,243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45,343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r>
    </w:tbl>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Includes amortization of deferred financing costs and convertible notes issuance costs.</w:t>
      </w:r>
    </w:p>
    <w:p>
      <w:pPr>
        <w:sectPr>
          <w:pgSz w:w="11900" w:h="16838" w:orient="portrait"/>
          <w:cols w:equalWidth="0" w:num="1">
            <w:col w:w="11220"/>
          </w:cols>
          <w:pgMar w:left="340" w:top="882" w:right="33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THE MIDDLEBY CORPORATION</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NON-GAAP INFORMATION</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(Amounts in 000’s, Except Per Share Information)</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(Unaudited)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1st Qtr, 2025</w:t>
            </w:r>
          </w:p>
        </w:tc>
        <w:tc>
          <w:tcPr>
            <w:tcW w:w="6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2nd Qtr, 2025</w:t>
            </w: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Diluted per share</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Diluted per share</w:t>
            </w:r>
          </w:p>
        </w:tc>
        <w:tc>
          <w:tcPr>
            <w:tcW w:w="0" w:type="dxa"/>
            <w:vAlign w:val="bottom"/>
          </w:tcPr>
          <w:p>
            <w:pPr>
              <w:spacing w:after="0"/>
              <w:rPr>
                <w:sz w:val="1"/>
                <w:szCs w:val="1"/>
                <w:color w:val="auto"/>
              </w:rPr>
            </w:pPr>
          </w:p>
        </w:tc>
      </w:tr>
      <w:tr>
        <w:trPr>
          <w:trHeight w:val="220"/>
        </w:trPr>
        <w:tc>
          <w:tcPr>
            <w:tcW w:w="5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earnings from continuing operations</w:t>
            </w:r>
          </w:p>
        </w:tc>
        <w:tc>
          <w:tcPr>
            <w:tcW w:w="7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69,143</w:t>
            </w:r>
          </w:p>
        </w:tc>
        <w:tc>
          <w:tcPr>
            <w:tcW w:w="78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1.27</w:t>
            </w:r>
          </w:p>
        </w:tc>
        <w:tc>
          <w:tcPr>
            <w:tcW w:w="14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63,573</w:t>
            </w:r>
          </w:p>
        </w:tc>
        <w:tc>
          <w:tcPr>
            <w:tcW w:w="780" w:type="dxa"/>
            <w:vAlign w:val="bottom"/>
            <w:gridSpan w:val="2"/>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1.20</w:t>
            </w:r>
          </w:p>
        </w:tc>
        <w:tc>
          <w:tcPr>
            <w:tcW w:w="0" w:type="dxa"/>
            <w:vAlign w:val="bottom"/>
          </w:tcPr>
          <w:p>
            <w:pPr>
              <w:spacing w:after="0"/>
              <w:rPr>
                <w:sz w:val="1"/>
                <w:szCs w:val="1"/>
                <w:color w:val="auto"/>
              </w:rPr>
            </w:pPr>
          </w:p>
        </w:tc>
      </w:tr>
      <w:tr>
        <w:trPr>
          <w:trHeight w:val="249"/>
        </w:trPr>
        <w:tc>
          <w:tcPr>
            <w:tcW w:w="5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w:t>
            </w:r>
            <w:r>
              <w:rPr>
                <w:rFonts w:ascii="Times New Roman" w:cs="Times New Roman" w:eastAsia="Times New Roman" w:hAnsi="Times New Roman"/>
                <w:sz w:val="21"/>
                <w:szCs w:val="21"/>
                <w:color w:val="auto"/>
                <w:vertAlign w:val="superscript"/>
              </w:rPr>
              <w:t>(1)</w:t>
            </w:r>
          </w:p>
        </w:tc>
        <w:tc>
          <w:tcPr>
            <w:tcW w:w="7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13,091</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12,728</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0" w:type="dxa"/>
            <w:vAlign w:val="bottom"/>
          </w:tcPr>
          <w:p>
            <w:pPr>
              <w:spacing w:after="0"/>
              <w:rPr>
                <w:sz w:val="1"/>
                <w:szCs w:val="1"/>
                <w:color w:val="auto"/>
              </w:rPr>
            </w:pPr>
          </w:p>
        </w:tc>
      </w:tr>
      <w:tr>
        <w:trPr>
          <w:trHeight w:val="210"/>
        </w:trPr>
        <w:tc>
          <w:tcPr>
            <w:tcW w:w="5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Restructuring expenses</w:t>
            </w:r>
          </w:p>
        </w:tc>
        <w:tc>
          <w:tcPr>
            <w:tcW w:w="7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30"/>
        </w:trPr>
        <w:tc>
          <w:tcPr>
            <w:tcW w:w="5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Acquisition related adjustments</w:t>
            </w:r>
          </w:p>
        </w:tc>
        <w:tc>
          <w:tcPr>
            <w:tcW w:w="7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5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periodic pension benefit</w:t>
            </w:r>
          </w:p>
        </w:tc>
        <w:tc>
          <w:tcPr>
            <w:tcW w:w="7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(1,516)</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30"/>
        </w:trPr>
        <w:tc>
          <w:tcPr>
            <w:tcW w:w="5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 effect of pre-tax adjustments</w:t>
            </w:r>
          </w:p>
        </w:tc>
        <w:tc>
          <w:tcPr>
            <w:tcW w:w="7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(2,831)</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(2,900)</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181"/>
        </w:trPr>
        <w:tc>
          <w:tcPr>
            <w:tcW w:w="5600" w:type="dxa"/>
            <w:vAlign w:val="bottom"/>
          </w:tcPr>
          <w:p>
            <w:pPr>
              <w:ind w:left="200"/>
              <w:spacing w:after="0" w:line="181" w:lineRule="exact"/>
              <w:rPr>
                <w:sz w:val="20"/>
                <w:szCs w:val="20"/>
                <w:color w:val="auto"/>
              </w:rPr>
            </w:pPr>
            <w:r>
              <w:rPr>
                <w:rFonts w:ascii="Times New Roman" w:cs="Times New Roman" w:eastAsia="Times New Roman" w:hAnsi="Times New Roman"/>
                <w:sz w:val="16"/>
                <w:szCs w:val="16"/>
                <w:color w:val="auto"/>
              </w:rPr>
              <w:t>Adjustment for shares excluded due to anti-dilution effect on GAAP net</w:t>
            </w:r>
          </w:p>
        </w:tc>
        <w:tc>
          <w:tcPr>
            <w:tcW w:w="72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16"/>
        </w:trPr>
        <w:tc>
          <w:tcPr>
            <w:tcW w:w="5600" w:type="dxa"/>
            <w:vAlign w:val="bottom"/>
          </w:tcPr>
          <w:p>
            <w:pPr>
              <w:ind w:left="200"/>
              <w:spacing w:after="0" w:line="216" w:lineRule="exact"/>
              <w:rPr>
                <w:sz w:val="20"/>
                <w:szCs w:val="20"/>
                <w:color w:val="auto"/>
              </w:rPr>
            </w:pPr>
            <w:r>
              <w:rPr>
                <w:rFonts w:ascii="Times New Roman" w:cs="Times New Roman" w:eastAsia="Times New Roman" w:hAnsi="Times New Roman"/>
                <w:sz w:val="16"/>
                <w:szCs w:val="16"/>
                <w:color w:val="auto"/>
              </w:rPr>
              <w:t>earnings</w:t>
            </w:r>
            <w:r>
              <w:rPr>
                <w:rFonts w:ascii="Times New Roman" w:cs="Times New Roman" w:eastAsia="Times New Roman" w:hAnsi="Times New Roman"/>
                <w:sz w:val="21"/>
                <w:szCs w:val="21"/>
                <w:color w:val="auto"/>
                <w:vertAlign w:val="superscript"/>
              </w:rPr>
              <w:t>(2)</w:t>
            </w:r>
          </w:p>
        </w:tc>
        <w:tc>
          <w:tcPr>
            <w:tcW w:w="7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net earnings from continuing operations</w:t>
            </w:r>
          </w:p>
        </w:tc>
        <w:tc>
          <w:tcPr>
            <w:tcW w:w="7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78,787</w:t>
            </w:r>
          </w:p>
        </w:tc>
        <w:tc>
          <w:tcPr>
            <w:tcW w:w="78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1.47</w:t>
            </w:r>
          </w:p>
        </w:tc>
        <w:tc>
          <w:tcPr>
            <w:tcW w:w="14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72,708</w:t>
            </w:r>
          </w:p>
        </w:tc>
        <w:tc>
          <w:tcPr>
            <w:tcW w:w="780" w:type="dxa"/>
            <w:vAlign w:val="bottom"/>
            <w:gridSpan w:val="2"/>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1.38</w:t>
            </w:r>
          </w:p>
        </w:tc>
        <w:tc>
          <w:tcPr>
            <w:tcW w:w="0" w:type="dxa"/>
            <w:vAlign w:val="bottom"/>
          </w:tcPr>
          <w:p>
            <w:pPr>
              <w:spacing w:after="0"/>
              <w:rPr>
                <w:sz w:val="1"/>
                <w:szCs w:val="1"/>
                <w:color w:val="auto"/>
              </w:rPr>
            </w:pPr>
          </w:p>
        </w:tc>
      </w:tr>
      <w:tr>
        <w:trPr>
          <w:trHeight w:val="324"/>
        </w:trPr>
        <w:tc>
          <w:tcPr>
            <w:tcW w:w="5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Diluted weighted average number of shares</w:t>
            </w:r>
          </w:p>
        </w:tc>
        <w:tc>
          <w:tcPr>
            <w:tcW w:w="7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54,621</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53,154</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600" w:type="dxa"/>
            <w:vAlign w:val="bottom"/>
          </w:tcPr>
          <w:p>
            <w:pPr>
              <w:ind w:left="220"/>
              <w:spacing w:after="0" w:line="181" w:lineRule="exact"/>
              <w:rPr>
                <w:sz w:val="20"/>
                <w:szCs w:val="20"/>
                <w:color w:val="auto"/>
              </w:rPr>
            </w:pPr>
            <w:r>
              <w:rPr>
                <w:rFonts w:ascii="Times New Roman" w:cs="Times New Roman" w:eastAsia="Times New Roman" w:hAnsi="Times New Roman"/>
                <w:sz w:val="16"/>
                <w:szCs w:val="16"/>
                <w:color w:val="auto"/>
              </w:rPr>
              <w:t>Adjustment for shares excluded due to anti-dilution effect on GAAP net</w:t>
            </w:r>
          </w:p>
        </w:tc>
        <w:tc>
          <w:tcPr>
            <w:tcW w:w="72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earnings</w:t>
            </w:r>
            <w:r>
              <w:rPr>
                <w:rFonts w:ascii="Times New Roman" w:cs="Times New Roman" w:eastAsia="Times New Roman" w:hAnsi="Times New Roman"/>
                <w:sz w:val="21"/>
                <w:szCs w:val="21"/>
                <w:color w:val="auto"/>
                <w:vertAlign w:val="superscript"/>
              </w:rPr>
              <w:t>(2)</w:t>
            </w:r>
          </w:p>
        </w:tc>
        <w:tc>
          <w:tcPr>
            <w:tcW w:w="7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diluted weighted average number of shares</w:t>
            </w:r>
          </w:p>
        </w:tc>
        <w:tc>
          <w:tcPr>
            <w:tcW w:w="7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53,593</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52,643</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0"/>
        </w:trPr>
        <w:tc>
          <w:tcPr>
            <w:tcW w:w="560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3rd Qtr, 2025</w:t>
            </w:r>
          </w:p>
        </w:tc>
        <w:tc>
          <w:tcPr>
            <w:tcW w:w="6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4th Qtr, 2025</w:t>
            </w: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6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Diluted per share</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Diluted per share</w:t>
            </w:r>
          </w:p>
        </w:tc>
        <w:tc>
          <w:tcPr>
            <w:tcW w:w="0" w:type="dxa"/>
            <w:vAlign w:val="bottom"/>
          </w:tcPr>
          <w:p>
            <w:pPr>
              <w:spacing w:after="0"/>
              <w:rPr>
                <w:sz w:val="1"/>
                <w:szCs w:val="1"/>
                <w:color w:val="auto"/>
              </w:rPr>
            </w:pPr>
          </w:p>
        </w:tc>
      </w:tr>
      <w:tr>
        <w:trPr>
          <w:trHeight w:val="220"/>
        </w:trPr>
        <w:tc>
          <w:tcPr>
            <w:tcW w:w="5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earnings from continuing operations</w:t>
            </w:r>
          </w:p>
        </w:tc>
        <w:tc>
          <w:tcPr>
            <w:tcW w:w="7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78,984</w:t>
            </w:r>
          </w:p>
        </w:tc>
        <w:tc>
          <w:tcPr>
            <w:tcW w:w="78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1.56</w:t>
            </w:r>
          </w:p>
        </w:tc>
        <w:tc>
          <w:tcPr>
            <w:tcW w:w="14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62,202</w:t>
            </w:r>
          </w:p>
        </w:tc>
        <w:tc>
          <w:tcPr>
            <w:tcW w:w="780" w:type="dxa"/>
            <w:vAlign w:val="bottom"/>
            <w:gridSpan w:val="2"/>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1.24</w:t>
            </w:r>
          </w:p>
        </w:tc>
        <w:tc>
          <w:tcPr>
            <w:tcW w:w="0" w:type="dxa"/>
            <w:vAlign w:val="bottom"/>
          </w:tcPr>
          <w:p>
            <w:pPr>
              <w:spacing w:after="0"/>
              <w:rPr>
                <w:sz w:val="1"/>
                <w:szCs w:val="1"/>
                <w:color w:val="auto"/>
              </w:rPr>
            </w:pPr>
          </w:p>
        </w:tc>
      </w:tr>
      <w:tr>
        <w:trPr>
          <w:trHeight w:val="249"/>
        </w:trPr>
        <w:tc>
          <w:tcPr>
            <w:tcW w:w="5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w:t>
            </w:r>
            <w:r>
              <w:rPr>
                <w:rFonts w:ascii="Times New Roman" w:cs="Times New Roman" w:eastAsia="Times New Roman" w:hAnsi="Times New Roman"/>
                <w:sz w:val="21"/>
                <w:szCs w:val="21"/>
                <w:color w:val="auto"/>
                <w:vertAlign w:val="superscript"/>
              </w:rPr>
              <w:t>(1)</w:t>
            </w:r>
          </w:p>
        </w:tc>
        <w:tc>
          <w:tcPr>
            <w:tcW w:w="7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12,724</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11,323</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0" w:type="dxa"/>
            <w:vAlign w:val="bottom"/>
          </w:tcPr>
          <w:p>
            <w:pPr>
              <w:spacing w:after="0"/>
              <w:rPr>
                <w:sz w:val="1"/>
                <w:szCs w:val="1"/>
                <w:color w:val="auto"/>
              </w:rPr>
            </w:pPr>
          </w:p>
        </w:tc>
      </w:tr>
      <w:tr>
        <w:trPr>
          <w:trHeight w:val="210"/>
        </w:trPr>
        <w:tc>
          <w:tcPr>
            <w:tcW w:w="5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Restructuring expenses</w:t>
            </w:r>
          </w:p>
        </w:tc>
        <w:tc>
          <w:tcPr>
            <w:tcW w:w="7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29"/>
        </w:trPr>
        <w:tc>
          <w:tcPr>
            <w:tcW w:w="5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Acquisition related adjustments</w:t>
            </w:r>
          </w:p>
        </w:tc>
        <w:tc>
          <w:tcPr>
            <w:tcW w:w="7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230"/>
        </w:trPr>
        <w:tc>
          <w:tcPr>
            <w:tcW w:w="5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periodic pension benefit</w:t>
            </w:r>
          </w:p>
        </w:tc>
        <w:tc>
          <w:tcPr>
            <w:tcW w:w="7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30"/>
        </w:trPr>
        <w:tc>
          <w:tcPr>
            <w:tcW w:w="5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Impairments</w:t>
            </w:r>
          </w:p>
        </w:tc>
        <w:tc>
          <w:tcPr>
            <w:tcW w:w="7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9,298</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0" w:type="dxa"/>
            <w:vAlign w:val="bottom"/>
          </w:tcPr>
          <w:p>
            <w:pPr>
              <w:spacing w:after="0"/>
              <w:rPr>
                <w:sz w:val="1"/>
                <w:szCs w:val="1"/>
                <w:color w:val="auto"/>
              </w:rPr>
            </w:pPr>
          </w:p>
        </w:tc>
      </w:tr>
      <w:tr>
        <w:trPr>
          <w:trHeight w:val="233"/>
        </w:trPr>
        <w:tc>
          <w:tcPr>
            <w:tcW w:w="5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 effect of pre-tax adjustments</w:t>
            </w:r>
          </w:p>
        </w:tc>
        <w:tc>
          <w:tcPr>
            <w:tcW w:w="7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(2,669)</w:t>
            </w:r>
          </w:p>
        </w:tc>
        <w:tc>
          <w:tcPr>
            <w:tcW w:w="16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(3,819)</w:t>
            </w:r>
          </w:p>
        </w:tc>
        <w:tc>
          <w:tcPr>
            <w:tcW w:w="14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0" w:type="dxa"/>
            <w:vAlign w:val="bottom"/>
          </w:tcPr>
          <w:p>
            <w:pPr>
              <w:spacing w:after="0"/>
              <w:rPr>
                <w:sz w:val="1"/>
                <w:szCs w:val="1"/>
                <w:color w:val="auto"/>
              </w:rPr>
            </w:pPr>
          </w:p>
        </w:tc>
      </w:tr>
      <w:tr>
        <w:trPr>
          <w:trHeight w:val="220"/>
        </w:trPr>
        <w:tc>
          <w:tcPr>
            <w:tcW w:w="5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net earnings from continuing operations</w:t>
            </w:r>
          </w:p>
        </w:tc>
        <w:tc>
          <w:tcPr>
            <w:tcW w:w="7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88,073</w:t>
            </w:r>
          </w:p>
        </w:tc>
        <w:tc>
          <w:tcPr>
            <w:tcW w:w="78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1.74</w:t>
            </w:r>
          </w:p>
        </w:tc>
        <w:tc>
          <w:tcPr>
            <w:tcW w:w="14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76,066</w:t>
            </w:r>
          </w:p>
        </w:tc>
        <w:tc>
          <w:tcPr>
            <w:tcW w:w="780" w:type="dxa"/>
            <w:vAlign w:val="bottom"/>
            <w:gridSpan w:val="2"/>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1.52</w:t>
            </w:r>
          </w:p>
        </w:tc>
        <w:tc>
          <w:tcPr>
            <w:tcW w:w="0" w:type="dxa"/>
            <w:vAlign w:val="bottom"/>
          </w:tcPr>
          <w:p>
            <w:pPr>
              <w:spacing w:after="0"/>
              <w:rPr>
                <w:sz w:val="1"/>
                <w:szCs w:val="1"/>
                <w:color w:val="auto"/>
              </w:rPr>
            </w:pPr>
          </w:p>
        </w:tc>
      </w:tr>
      <w:tr>
        <w:trPr>
          <w:trHeight w:val="324"/>
        </w:trPr>
        <w:tc>
          <w:tcPr>
            <w:tcW w:w="5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Diluted weighted average number of shares</w:t>
            </w:r>
          </w:p>
        </w:tc>
        <w:tc>
          <w:tcPr>
            <w:tcW w:w="7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50,908</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50,032</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600" w:type="dxa"/>
            <w:vAlign w:val="bottom"/>
          </w:tcPr>
          <w:p>
            <w:pPr>
              <w:ind w:left="220"/>
              <w:spacing w:after="0" w:line="181" w:lineRule="exact"/>
              <w:rPr>
                <w:sz w:val="20"/>
                <w:szCs w:val="20"/>
                <w:color w:val="auto"/>
              </w:rPr>
            </w:pPr>
            <w:r>
              <w:rPr>
                <w:rFonts w:ascii="Times New Roman" w:cs="Times New Roman" w:eastAsia="Times New Roman" w:hAnsi="Times New Roman"/>
                <w:sz w:val="16"/>
                <w:szCs w:val="16"/>
                <w:color w:val="auto"/>
              </w:rPr>
              <w:t>Adjustment for shares excluded due to anti-dilution effect on GAAP net</w:t>
            </w:r>
          </w:p>
        </w:tc>
        <w:tc>
          <w:tcPr>
            <w:tcW w:w="72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earnings</w:t>
            </w:r>
            <w:r>
              <w:rPr>
                <w:rFonts w:ascii="Times New Roman" w:cs="Times New Roman" w:eastAsia="Times New Roman" w:hAnsi="Times New Roman"/>
                <w:sz w:val="21"/>
                <w:szCs w:val="21"/>
                <w:color w:val="auto"/>
                <w:vertAlign w:val="superscript"/>
              </w:rPr>
              <w:t>(2)</w:t>
            </w:r>
          </w:p>
        </w:tc>
        <w:tc>
          <w:tcPr>
            <w:tcW w:w="7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diluted weighted average number of shares</w:t>
            </w:r>
          </w:p>
        </w:tc>
        <w:tc>
          <w:tcPr>
            <w:tcW w:w="7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50,574</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50,032</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200" w:hanging="194"/>
        <w:spacing w:after="0"/>
        <w:tabs>
          <w:tab w:leader="none" w:pos="2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amortization of deferred financing costs and convertible notes issuance costs.</w:t>
      </w:r>
    </w:p>
    <w:p>
      <w:pPr>
        <w:spacing w:after="0" w:line="122" w:lineRule="exact"/>
        <w:rPr>
          <w:rFonts w:ascii="Times New Roman" w:cs="Times New Roman" w:eastAsia="Times New Roman" w:hAnsi="Times New Roman"/>
          <w:sz w:val="14"/>
          <w:szCs w:val="14"/>
          <w:color w:val="auto"/>
        </w:rPr>
      </w:pPr>
    </w:p>
    <w:p>
      <w:pPr>
        <w:ind w:right="140" w:firstLine="6"/>
        <w:spacing w:after="0" w:line="234" w:lineRule="auto"/>
        <w:tabs>
          <w:tab w:leader="none" w:pos="204"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diluted weighted average number of shares was calculated based on excluding the dilutive effect of shares to be issued upon conversion of the notes to satisfy the amount in excess of the principal since the company's capped call offsets the dilutive impact of the shares underlying the convertible notes. The calculation of adjusted diluted earnings per share excludes the principal portion of the convertible notes as this will always be settled in cash.</w:t>
      </w:r>
    </w:p>
    <w:p>
      <w:pPr>
        <w:sectPr>
          <w:pgSz w:w="11900" w:h="16838" w:orient="portrait"/>
          <w:cols w:equalWidth="0" w:num="1">
            <w:col w:w="11220"/>
          </w:cols>
          <w:pgMar w:left="340" w:top="882"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THE MIDDLEBY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NON-GAAP INFORMATION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(Amounts in 000’s, Except Per Share Information)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84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Full Year 2025</w:t>
            </w:r>
          </w:p>
        </w:tc>
        <w:tc>
          <w:tcPr>
            <w:tcW w:w="660" w:type="dxa"/>
            <w:vAlign w:val="bottom"/>
            <w:tcBorders>
              <w:bottom w:val="single" w:sz="8" w:color="auto"/>
            </w:tcBorders>
          </w:tcPr>
          <w:p>
            <w:pPr>
              <w:spacing w:after="0"/>
              <w:rPr>
                <w:sz w:val="18"/>
                <w:szCs w:val="18"/>
                <w:color w:val="auto"/>
              </w:rPr>
            </w:pPr>
          </w:p>
        </w:tc>
      </w:tr>
      <w:tr>
        <w:trPr>
          <w:trHeight w:val="223"/>
        </w:trPr>
        <w:tc>
          <w:tcPr>
            <w:tcW w:w="84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Diluted per share</w:t>
            </w:r>
          </w:p>
        </w:tc>
      </w:tr>
      <w:tr>
        <w:trPr>
          <w:trHeight w:val="220"/>
        </w:trPr>
        <w:tc>
          <w:tcPr>
            <w:tcW w:w="8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earnings from continuing operations</w:t>
            </w:r>
          </w:p>
        </w:tc>
        <w:tc>
          <w:tcPr>
            <w:tcW w:w="7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273,902</w:t>
            </w:r>
          </w:p>
        </w:tc>
        <w:tc>
          <w:tcPr>
            <w:tcW w:w="820" w:type="dxa"/>
            <w:vAlign w:val="bottom"/>
            <w:gridSpan w:val="2"/>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5.25</w:t>
            </w:r>
          </w:p>
        </w:tc>
      </w:tr>
      <w:tr>
        <w:trPr>
          <w:trHeight w:val="249"/>
        </w:trPr>
        <w:tc>
          <w:tcPr>
            <w:tcW w:w="8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w:t>
            </w:r>
            <w:r>
              <w:rPr>
                <w:rFonts w:ascii="Times New Roman" w:cs="Times New Roman" w:eastAsia="Times New Roman" w:hAnsi="Times New Roman"/>
                <w:sz w:val="21"/>
                <w:szCs w:val="21"/>
                <w:color w:val="auto"/>
                <w:vertAlign w:val="superscript"/>
              </w:rPr>
              <w:t>(1)</w:t>
            </w:r>
          </w:p>
        </w:tc>
        <w:tc>
          <w:tcPr>
            <w:tcW w:w="7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49,866</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0.96</w:t>
            </w:r>
          </w:p>
        </w:tc>
      </w:tr>
      <w:tr>
        <w:trPr>
          <w:trHeight w:val="210"/>
        </w:trPr>
        <w:tc>
          <w:tcPr>
            <w:tcW w:w="8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Restructuring expenses</w:t>
            </w:r>
          </w:p>
        </w:tc>
        <w:tc>
          <w:tcPr>
            <w:tcW w:w="7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2,751</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0.05</w:t>
            </w:r>
          </w:p>
        </w:tc>
      </w:tr>
      <w:tr>
        <w:trPr>
          <w:trHeight w:val="230"/>
        </w:trPr>
        <w:tc>
          <w:tcPr>
            <w:tcW w:w="8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Acquisition related adjustments</w:t>
            </w:r>
          </w:p>
        </w:tc>
        <w:tc>
          <w:tcPr>
            <w:tcW w:w="7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center"/>
              <w:ind w:left="139"/>
              <w:spacing w:after="0"/>
              <w:rPr>
                <w:sz w:val="20"/>
                <w:szCs w:val="20"/>
                <w:color w:val="auto"/>
              </w:rPr>
            </w:pPr>
            <w:r>
              <w:rPr>
                <w:rFonts w:ascii="Times New Roman" w:cs="Times New Roman" w:eastAsia="Times New Roman" w:hAnsi="Times New Roman"/>
                <w:sz w:val="16"/>
                <w:szCs w:val="16"/>
                <w:color w:val="auto"/>
              </w:rPr>
              <w:t>(0.03)</w:t>
            </w:r>
          </w:p>
        </w:tc>
      </w:tr>
      <w:tr>
        <w:trPr>
          <w:trHeight w:val="229"/>
        </w:trPr>
        <w:tc>
          <w:tcPr>
            <w:tcW w:w="8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periodic pension benefit</w:t>
            </w:r>
          </w:p>
        </w:tc>
        <w:tc>
          <w:tcPr>
            <w:tcW w:w="7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(6,294)</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center"/>
              <w:ind w:left="139"/>
              <w:spacing w:after="0"/>
              <w:rPr>
                <w:sz w:val="20"/>
                <w:szCs w:val="20"/>
                <w:color w:val="auto"/>
              </w:rPr>
            </w:pPr>
            <w:r>
              <w:rPr>
                <w:rFonts w:ascii="Times New Roman" w:cs="Times New Roman" w:eastAsia="Times New Roman" w:hAnsi="Times New Roman"/>
                <w:sz w:val="16"/>
                <w:szCs w:val="16"/>
                <w:color w:val="auto"/>
              </w:rPr>
              <w:t>(0.12)</w:t>
            </w:r>
          </w:p>
        </w:tc>
      </w:tr>
      <w:tr>
        <w:trPr>
          <w:trHeight w:val="230"/>
        </w:trPr>
        <w:tc>
          <w:tcPr>
            <w:tcW w:w="8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Impairments</w:t>
            </w:r>
          </w:p>
        </w:tc>
        <w:tc>
          <w:tcPr>
            <w:tcW w:w="7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9,298</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0.18</w:t>
            </w:r>
          </w:p>
        </w:tc>
      </w:tr>
      <w:tr>
        <w:trPr>
          <w:trHeight w:val="229"/>
        </w:trPr>
        <w:tc>
          <w:tcPr>
            <w:tcW w:w="8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 effect of pre-tax adjustments</w:t>
            </w:r>
          </w:p>
        </w:tc>
        <w:tc>
          <w:tcPr>
            <w:tcW w:w="7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(12,289)</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center"/>
              <w:ind w:left="139"/>
              <w:spacing w:after="0"/>
              <w:rPr>
                <w:sz w:val="20"/>
                <w:szCs w:val="20"/>
                <w:color w:val="auto"/>
              </w:rPr>
            </w:pPr>
            <w:r>
              <w:rPr>
                <w:rFonts w:ascii="Times New Roman" w:cs="Times New Roman" w:eastAsia="Times New Roman" w:hAnsi="Times New Roman"/>
                <w:sz w:val="16"/>
                <w:szCs w:val="16"/>
                <w:color w:val="auto"/>
              </w:rPr>
              <w:t>(0.24)</w:t>
            </w:r>
          </w:p>
        </w:tc>
      </w:tr>
      <w:tr>
        <w:trPr>
          <w:trHeight w:val="235"/>
        </w:trPr>
        <w:tc>
          <w:tcPr>
            <w:tcW w:w="8420" w:type="dxa"/>
            <w:vAlign w:val="bottom"/>
          </w:tcPr>
          <w:p>
            <w:pPr>
              <w:ind w:left="200"/>
              <w:spacing w:after="0" w:line="236" w:lineRule="exact"/>
              <w:rPr>
                <w:sz w:val="20"/>
                <w:szCs w:val="20"/>
                <w:color w:val="auto"/>
              </w:rPr>
            </w:pPr>
            <w:r>
              <w:rPr>
                <w:rFonts w:ascii="Times New Roman" w:cs="Times New Roman" w:eastAsia="Times New Roman" w:hAnsi="Times New Roman"/>
                <w:sz w:val="16"/>
                <w:szCs w:val="16"/>
                <w:color w:val="auto"/>
              </w:rPr>
              <w:t>Adjustment for shares excluded due to anti-dilution effect on GAAP net earnings</w:t>
            </w:r>
            <w:r>
              <w:rPr>
                <w:rFonts w:ascii="Times New Roman" w:cs="Times New Roman" w:eastAsia="Times New Roman" w:hAnsi="Times New Roman"/>
                <w:sz w:val="21"/>
                <w:szCs w:val="21"/>
                <w:color w:val="auto"/>
                <w:vertAlign w:val="superscript"/>
              </w:rPr>
              <w:t>(2)</w:t>
            </w:r>
          </w:p>
        </w:tc>
        <w:tc>
          <w:tcPr>
            <w:tcW w:w="7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center"/>
              <w:ind w:left="159"/>
              <w:spacing w:after="0"/>
              <w:rPr>
                <w:sz w:val="20"/>
                <w:szCs w:val="20"/>
                <w:color w:val="auto"/>
              </w:rPr>
            </w:pPr>
            <w:r>
              <w:rPr>
                <w:rFonts w:ascii="Times New Roman" w:cs="Times New Roman" w:eastAsia="Times New Roman" w:hAnsi="Times New Roman"/>
                <w:sz w:val="16"/>
                <w:szCs w:val="16"/>
                <w:color w:val="auto"/>
              </w:rPr>
              <w:t>0.05</w:t>
            </w:r>
          </w:p>
        </w:tc>
      </w:tr>
      <w:tr>
        <w:trPr>
          <w:trHeight w:val="217"/>
        </w:trPr>
        <w:tc>
          <w:tcPr>
            <w:tcW w:w="8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net earnings from continuing operations</w:t>
            </w:r>
          </w:p>
        </w:tc>
        <w:tc>
          <w:tcPr>
            <w:tcW w:w="7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315,564</w:t>
            </w:r>
          </w:p>
        </w:tc>
        <w:tc>
          <w:tcPr>
            <w:tcW w:w="820" w:type="dxa"/>
            <w:vAlign w:val="bottom"/>
            <w:gridSpan w:val="2"/>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6.10</w:t>
            </w:r>
          </w:p>
        </w:tc>
      </w:tr>
      <w:tr>
        <w:trPr>
          <w:trHeight w:val="324"/>
        </w:trPr>
        <w:tc>
          <w:tcPr>
            <w:tcW w:w="8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Diluted weighted average number of shares</w:t>
            </w:r>
          </w:p>
        </w:tc>
        <w:tc>
          <w:tcPr>
            <w:tcW w:w="7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52,179</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35"/>
        </w:trPr>
        <w:tc>
          <w:tcPr>
            <w:tcW w:w="8420" w:type="dxa"/>
            <w:vAlign w:val="bottom"/>
          </w:tcPr>
          <w:p>
            <w:pPr>
              <w:ind w:left="220"/>
              <w:spacing w:after="0" w:line="236" w:lineRule="exact"/>
              <w:rPr>
                <w:sz w:val="20"/>
                <w:szCs w:val="20"/>
                <w:color w:val="auto"/>
              </w:rPr>
            </w:pPr>
            <w:r>
              <w:rPr>
                <w:rFonts w:ascii="Times New Roman" w:cs="Times New Roman" w:eastAsia="Times New Roman" w:hAnsi="Times New Roman"/>
                <w:sz w:val="16"/>
                <w:szCs w:val="16"/>
                <w:color w:val="auto"/>
              </w:rPr>
              <w:t>Adjustment for shares excluded due to anti-dilution effect on GAAP net earnings</w:t>
            </w:r>
            <w:r>
              <w:rPr>
                <w:rFonts w:ascii="Times New Roman" w:cs="Times New Roman" w:eastAsia="Times New Roman" w:hAnsi="Times New Roman"/>
                <w:sz w:val="21"/>
                <w:szCs w:val="21"/>
                <w:color w:val="auto"/>
                <w:vertAlign w:val="superscript"/>
              </w:rPr>
              <w:t>(2)</w:t>
            </w:r>
          </w:p>
        </w:tc>
        <w:tc>
          <w:tcPr>
            <w:tcW w:w="7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17"/>
        </w:trPr>
        <w:tc>
          <w:tcPr>
            <w:tcW w:w="8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diluted weighted average number of shares</w:t>
            </w:r>
          </w:p>
        </w:tc>
        <w:tc>
          <w:tcPr>
            <w:tcW w:w="7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51,711</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r>
    </w:tbl>
    <w:p>
      <w:pPr>
        <w:spacing w:after="0" w:line="105" w:lineRule="exact"/>
        <w:rPr>
          <w:sz w:val="20"/>
          <w:szCs w:val="20"/>
          <w:color w:val="auto"/>
        </w:rPr>
      </w:pPr>
    </w:p>
    <w:p>
      <w:pPr>
        <w:ind w:left="220" w:hanging="194"/>
        <w:spacing w:after="0"/>
        <w:tabs>
          <w:tab w:leader="none" w:pos="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amortization of deferred financing costs and convertible notes issuance costs.</w:t>
      </w:r>
    </w:p>
    <w:p>
      <w:pPr>
        <w:spacing w:after="0" w:line="122" w:lineRule="exact"/>
        <w:rPr>
          <w:rFonts w:ascii="Times New Roman" w:cs="Times New Roman" w:eastAsia="Times New Roman" w:hAnsi="Times New Roman"/>
          <w:sz w:val="14"/>
          <w:szCs w:val="14"/>
          <w:color w:val="auto"/>
        </w:rPr>
      </w:pPr>
    </w:p>
    <w:p>
      <w:pPr>
        <w:ind w:left="20" w:right="140" w:firstLine="6"/>
        <w:spacing w:after="0" w:line="241" w:lineRule="auto"/>
        <w:tabs>
          <w:tab w:leader="none" w:pos="224"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diluted weighted average number of shares was calculated based on excluding the dilutive effect of shares to be issued upon conversion of the notes to satisfy the amount in excess of the principal since the company's capped call offsets the dilutive impact of the shares underlying the convertible notes. The calculation of adjusted diluted earnings per share excludes the principal portion of the convertible notes as this will always be settled in cash.</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supplements its consolidated financial statements presented on a GAAP basis with this non-GAAP financial information to provide investors with greater insight, increase transparency and allow for a more comprehensive understanding of the information used by management in its financial and operational decision-making. The non-GAAP financial measures disclosed by the company should not be considered a substitute for, or superior to, financial measures prepared in accordance with GAAP, and the financial results prepared in accordance with GAAP and reconciliations from these results should be carefully evaluated. In addition, the non-GAAP financial measures included in this press release do not have standard meanings and may vary from similarly titled non-GAAP financial measures used by other companies. Reconciliations of forward-looking non-GAAP financial measures to the most directly comparable GAAP financial measures are not available because the timing and magnitude of certain items cannot be reasonably estimated at this time without unreasonable effort.</w:t>
      </w:r>
    </w:p>
    <w:p>
      <w:pPr>
        <w:spacing w:after="0" w:line="84"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7"/>
          <w:szCs w:val="17"/>
          <w:color w:val="auto"/>
        </w:rPr>
        <w:t>The company believes that organic net sales growth, adjusted EBITDA, organic adjusted EBITDA, net debt, net leverage, adjusted net earnings and adjusted diluted per share measures are useful as supplements to its GAAP results of operations to evaluate certain aspects of its operations and financial performance, and its management team primarily focuses on non-GAAP items in evaluating performance for business planning purposes. The company also believes that these measures assist it with comparing its performance between various reporting periods on a consistent basis, as these measures remove from operating results the impact of items that, in its opinion, do not reflect its core operating performance including, for example, intangibles amortization expense, impairment charges, restructuring expenses, and other charges which management considers to be outside core operating results.</w:t>
      </w:r>
    </w:p>
    <w:p>
      <w:pPr>
        <w:spacing w:after="0" w:line="6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 believes that free cash flow is an important measure of operating performance because it provides management and investors with a measure of cash generated from operations that is available for mandatory payment obligations and investment opportunities, such as funding acquisitions, repaying debt and repurchasing our common stock.</w:t>
      </w:r>
    </w:p>
    <w:p>
      <w:pPr>
        <w:spacing w:after="0" w:line="6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 believes that its presentation of these non-GAAP financial measures is useful because it provides investors and securities analysts with the same information that Middleby uses internally for purposes of assessing its core operating performance.</w:t>
      </w:r>
    </w:p>
    <w:sectPr>
      <w:pgSz w:w="11900" w:h="16838" w:orient="portrait"/>
      <w:cols w:equalWidth="0" w:num="1">
        <w:col w:w="11240"/>
      </w:cols>
      <w:pgMar w:left="320" w:top="8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Letter"/>
      <w:start w:val="4"/>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lvl w:ilvl="1">
      <w:lvlJc w:val="left"/>
      <w:lvlText w:val="(%2)"/>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2026-11-05T06:11:12Z</dcterms:created>
  <dcterms:modified xsi:type="dcterms:W3CDTF">2026-11-05T06:11:12Z</dcterms:modified>
</cp:coreProperties>
</file>