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Arial" w:cs="Arial" w:eastAsia="Arial" w:hAnsi="Arial"/>
          <w:sz w:val="17"/>
          <w:szCs w:val="17"/>
          <w:b w:val="1"/>
          <w:bCs w:val="1"/>
          <w:color w:val="auto"/>
        </w:rPr>
        <w:t>UNITED STATES</w:t>
      </w:r>
    </w:p>
    <w:p>
      <w:pPr>
        <w:spacing w:after="0" w:line="82" w:lineRule="exact"/>
        <w:rPr>
          <w:sz w:val="24"/>
          <w:szCs w:val="24"/>
          <w:color w:val="auto"/>
        </w:rPr>
      </w:pPr>
    </w:p>
    <w:p>
      <w:pPr>
        <w:jc w:val="center"/>
        <w:ind w:right="-1080"/>
        <w:spacing w:after="0"/>
        <w:rPr>
          <w:sz w:val="20"/>
          <w:szCs w:val="20"/>
          <w:color w:val="auto"/>
        </w:rPr>
      </w:pPr>
      <w:r>
        <w:rPr>
          <w:rFonts w:ascii="Arial" w:cs="Arial" w:eastAsia="Arial" w:hAnsi="Arial"/>
          <w:sz w:val="17"/>
          <w:szCs w:val="17"/>
          <w:b w:val="1"/>
          <w:bCs w:val="1"/>
          <w:color w:val="auto"/>
        </w:rPr>
        <w:t>SECURITIES AND EXCHANGE COMMISSION</w:t>
      </w:r>
    </w:p>
    <w:p>
      <w:pPr>
        <w:spacing w:after="0" w:line="82" w:lineRule="exact"/>
        <w:rPr>
          <w:sz w:val="24"/>
          <w:szCs w:val="24"/>
          <w:color w:val="auto"/>
        </w:rPr>
      </w:pPr>
    </w:p>
    <w:p>
      <w:pPr>
        <w:jc w:val="center"/>
        <w:ind w:right="-1080"/>
        <w:spacing w:after="0"/>
        <w:rPr>
          <w:sz w:val="20"/>
          <w:szCs w:val="20"/>
          <w:color w:val="auto"/>
        </w:rPr>
      </w:pPr>
      <w:r>
        <w:rPr>
          <w:rFonts w:ascii="Arial" w:cs="Arial" w:eastAsia="Arial" w:hAnsi="Arial"/>
          <w:sz w:val="17"/>
          <w:szCs w:val="17"/>
          <w:color w:val="auto"/>
        </w:rPr>
        <w:t>Washington, DC 20549</w:t>
      </w:r>
    </w:p>
    <w:p>
      <w:pPr>
        <w:spacing w:after="0" w:line="168" w:lineRule="exact"/>
        <w:rPr>
          <w:sz w:val="24"/>
          <w:szCs w:val="24"/>
          <w:color w:val="auto"/>
        </w:rPr>
      </w:pPr>
    </w:p>
    <w:p>
      <w:pPr>
        <w:jc w:val="center"/>
        <w:ind w:right="-1080"/>
        <w:spacing w:after="0"/>
        <w:rPr>
          <w:sz w:val="20"/>
          <w:szCs w:val="20"/>
          <w:color w:val="auto"/>
        </w:rPr>
      </w:pPr>
      <w:r>
        <w:rPr>
          <w:rFonts w:ascii="Arial" w:cs="Arial" w:eastAsia="Arial" w:hAnsi="Arial"/>
          <w:sz w:val="27"/>
          <w:szCs w:val="27"/>
          <w:b w:val="1"/>
          <w:bCs w:val="1"/>
          <w:color w:val="auto"/>
        </w:rPr>
        <w:t>SCHEDULE 14A</w:t>
      </w:r>
    </w:p>
    <w:p>
      <w:pPr>
        <w:spacing w:after="0" w:line="209" w:lineRule="exact"/>
        <w:rPr>
          <w:sz w:val="24"/>
          <w:szCs w:val="24"/>
          <w:color w:val="auto"/>
        </w:rPr>
      </w:pPr>
    </w:p>
    <w:p>
      <w:pPr>
        <w:jc w:val="center"/>
        <w:ind w:right="-1020"/>
        <w:spacing w:after="0"/>
        <w:rPr>
          <w:sz w:val="20"/>
          <w:szCs w:val="20"/>
          <w:color w:val="auto"/>
        </w:rPr>
      </w:pPr>
      <w:r>
        <w:rPr>
          <w:rFonts w:ascii="Arial" w:cs="Arial" w:eastAsia="Arial" w:hAnsi="Arial"/>
          <w:sz w:val="17"/>
          <w:szCs w:val="17"/>
          <w:b w:val="1"/>
          <w:bCs w:val="1"/>
          <w:color w:val="auto"/>
        </w:rPr>
        <w:t>PROXY STATEMENT PURSUANT TO SECTION 14(a)</w:t>
      </w:r>
    </w:p>
    <w:p>
      <w:pPr>
        <w:spacing w:after="0" w:line="4" w:lineRule="exact"/>
        <w:rPr>
          <w:sz w:val="24"/>
          <w:szCs w:val="24"/>
          <w:color w:val="auto"/>
        </w:rPr>
      </w:pPr>
    </w:p>
    <w:p>
      <w:pPr>
        <w:jc w:val="center"/>
        <w:ind w:right="-1080"/>
        <w:spacing w:after="0"/>
        <w:rPr>
          <w:sz w:val="20"/>
          <w:szCs w:val="20"/>
          <w:color w:val="auto"/>
        </w:rPr>
      </w:pPr>
      <w:r>
        <w:rPr>
          <w:rFonts w:ascii="Arial" w:cs="Arial" w:eastAsia="Arial" w:hAnsi="Arial"/>
          <w:sz w:val="17"/>
          <w:szCs w:val="17"/>
          <w:b w:val="1"/>
          <w:bCs w:val="1"/>
          <w:color w:val="auto"/>
        </w:rPr>
        <w:t>OF THE SECURITIES EXCHANGE ACT OF 1934</w:t>
      </w:r>
    </w:p>
    <w:p>
      <w:pPr>
        <w:jc w:val="center"/>
        <w:ind w:right="-1060"/>
        <w:spacing w:after="0"/>
        <w:tabs>
          <w:tab w:leader="none" w:pos="200" w:val="left"/>
        </w:tabs>
        <w:rPr>
          <w:sz w:val="20"/>
          <w:szCs w:val="20"/>
          <w:color w:val="auto"/>
        </w:rPr>
      </w:pPr>
      <w:r>
        <w:rPr>
          <w:rFonts w:ascii="Arial" w:cs="Arial" w:eastAsia="Arial" w:hAnsi="Arial"/>
          <w:sz w:val="17"/>
          <w:szCs w:val="17"/>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816610</wp:posOffset>
            </wp:positionH>
            <wp:positionV relativeFrom="paragraph">
              <wp:posOffset>116840</wp:posOffset>
            </wp:positionV>
            <wp:extent cx="200660" cy="200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0660" cy="200660"/>
                    </a:xfrm>
                    <a:prstGeom prst="rect">
                      <a:avLst/>
                    </a:prstGeom>
                    <a:noFill/>
                  </pic:spPr>
                </pic:pic>
              </a:graphicData>
            </a:graphic>
          </wp:anchor>
        </w:drawing>
      </w:r>
    </w:p>
    <w:p>
      <w:pPr>
        <w:spacing w:after="0" w:line="144" w:lineRule="exact"/>
        <w:rPr>
          <w:sz w:val="24"/>
          <w:szCs w:val="24"/>
          <w:color w:val="auto"/>
        </w:rPr>
      </w:pPr>
    </w:p>
    <w:p>
      <w:pPr>
        <w:jc w:val="right"/>
        <w:ind w:right="599"/>
        <w:spacing w:after="0"/>
        <w:rPr>
          <w:sz w:val="20"/>
          <w:szCs w:val="20"/>
          <w:color w:val="auto"/>
        </w:rPr>
      </w:pPr>
      <w:r>
        <w:rPr>
          <w:rFonts w:ascii="Arial" w:cs="Arial" w:eastAsia="Arial" w:hAnsi="Arial"/>
          <w:sz w:val="17"/>
          <w:szCs w:val="17"/>
          <w:color w:val="auto"/>
        </w:rPr>
        <w:t xml:space="preserve">Filed by the Registrant                             </w:t>
      </w:r>
      <w:r>
        <w:rPr>
          <w:sz w:val="1"/>
          <w:szCs w:val="1"/>
          <w:color w:val="auto"/>
        </w:rPr>
        <w:drawing>
          <wp:inline distT="0" distB="0" distL="0" distR="0">
            <wp:extent cx="200660" cy="2006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0660" cy="200660"/>
                    </a:xfrm>
                    <a:prstGeom prst="rect">
                      <a:avLst/>
                    </a:prstGeom>
                    <a:noFill/>
                    <a:ln>
                      <a:noFill/>
                    </a:ln>
                  </pic:spPr>
                </pic:pic>
              </a:graphicData>
            </a:graphic>
          </wp:inline>
        </w:drawing>
      </w:r>
      <w:r>
        <w:rPr>
          <w:rFonts w:ascii="Arial" w:cs="Arial" w:eastAsia="Arial" w:hAnsi="Arial"/>
          <w:sz w:val="17"/>
          <w:szCs w:val="17"/>
          <w:color w:val="auto"/>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-24130</wp:posOffset>
            </wp:positionH>
            <wp:positionV relativeFrom="paragraph">
              <wp:posOffset>109855</wp:posOffset>
            </wp:positionV>
            <wp:extent cx="7141210" cy="13462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1346200"/>
                    </a:xfrm>
                    <a:prstGeom prst="rect">
                      <a:avLst/>
                    </a:prstGeom>
                    <a:noFill/>
                  </pic:spPr>
                </pic:pic>
              </a:graphicData>
            </a:graphic>
          </wp:anchor>
        </w:drawing>
      </w:r>
    </w:p>
    <w:p>
      <w:pPr>
        <w:spacing w:after="0" w:line="165"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Check the appropriate box:</w:t>
      </w:r>
    </w:p>
    <w:p>
      <w:pPr>
        <w:spacing w:after="0" w:line="183" w:lineRule="exact"/>
        <w:rPr>
          <w:sz w:val="24"/>
          <w:szCs w:val="24"/>
          <w:color w:val="auto"/>
        </w:rPr>
      </w:pPr>
    </w:p>
    <w:p>
      <w:pPr>
        <w:ind w:left="580"/>
        <w:spacing w:after="0"/>
        <w:rPr>
          <w:sz w:val="20"/>
          <w:szCs w:val="20"/>
          <w:color w:val="auto"/>
        </w:rPr>
      </w:pPr>
      <w:r>
        <w:rPr>
          <w:rFonts w:ascii="Arial" w:cs="Arial" w:eastAsia="Arial" w:hAnsi="Arial"/>
          <w:sz w:val="17"/>
          <w:szCs w:val="17"/>
          <w:color w:val="auto"/>
        </w:rPr>
        <w:t>Preliminary Proxy Statement</w:t>
      </w:r>
    </w:p>
    <w:p>
      <w:pPr>
        <w:spacing w:after="0" w:line="171" w:lineRule="exact"/>
        <w:rPr>
          <w:sz w:val="24"/>
          <w:szCs w:val="24"/>
          <w:color w:val="auto"/>
        </w:rPr>
      </w:pPr>
    </w:p>
    <w:p>
      <w:pPr>
        <w:ind w:left="580"/>
        <w:spacing w:after="0"/>
        <w:rPr>
          <w:sz w:val="20"/>
          <w:szCs w:val="20"/>
          <w:color w:val="auto"/>
        </w:rPr>
      </w:pPr>
      <w:r>
        <w:rPr>
          <w:rFonts w:ascii="Arial" w:cs="Arial" w:eastAsia="Arial" w:hAnsi="Arial"/>
          <w:sz w:val="17"/>
          <w:szCs w:val="17"/>
          <w:b w:val="1"/>
          <w:bCs w:val="1"/>
          <w:color w:val="auto"/>
        </w:rPr>
        <w:t>Confidential, for Use of the Commission Only (as permitted by Rule 14A-6(E)(2))</w:t>
      </w:r>
    </w:p>
    <w:p>
      <w:pPr>
        <w:spacing w:after="0" w:line="171" w:lineRule="exact"/>
        <w:rPr>
          <w:sz w:val="24"/>
          <w:szCs w:val="24"/>
          <w:color w:val="auto"/>
        </w:rPr>
      </w:pPr>
    </w:p>
    <w:p>
      <w:pPr>
        <w:ind w:left="580"/>
        <w:spacing w:after="0"/>
        <w:rPr>
          <w:sz w:val="20"/>
          <w:szCs w:val="20"/>
          <w:color w:val="auto"/>
        </w:rPr>
      </w:pPr>
      <w:r>
        <w:rPr>
          <w:rFonts w:ascii="Arial" w:cs="Arial" w:eastAsia="Arial" w:hAnsi="Arial"/>
          <w:sz w:val="17"/>
          <w:szCs w:val="17"/>
          <w:color w:val="auto"/>
        </w:rPr>
        <w:t>Definitive Proxy Statement</w:t>
      </w:r>
    </w:p>
    <w:p>
      <w:pPr>
        <w:spacing w:after="0" w:line="171" w:lineRule="exact"/>
        <w:rPr>
          <w:sz w:val="24"/>
          <w:szCs w:val="24"/>
          <w:color w:val="auto"/>
        </w:rPr>
      </w:pPr>
    </w:p>
    <w:p>
      <w:pPr>
        <w:ind w:left="580"/>
        <w:spacing w:after="0"/>
        <w:rPr>
          <w:sz w:val="20"/>
          <w:szCs w:val="20"/>
          <w:color w:val="auto"/>
        </w:rPr>
      </w:pPr>
      <w:r>
        <w:rPr>
          <w:rFonts w:ascii="Arial" w:cs="Arial" w:eastAsia="Arial" w:hAnsi="Arial"/>
          <w:sz w:val="17"/>
          <w:szCs w:val="17"/>
          <w:color w:val="auto"/>
        </w:rPr>
        <w:t>Definitive Additional Materials</w:t>
      </w:r>
    </w:p>
    <w:p>
      <w:pPr>
        <w:spacing w:after="0" w:line="171" w:lineRule="exact"/>
        <w:rPr>
          <w:sz w:val="24"/>
          <w:szCs w:val="24"/>
          <w:color w:val="auto"/>
        </w:rPr>
      </w:pPr>
    </w:p>
    <w:p>
      <w:pPr>
        <w:ind w:left="580"/>
        <w:spacing w:after="0"/>
        <w:rPr>
          <w:sz w:val="20"/>
          <w:szCs w:val="20"/>
          <w:color w:val="auto"/>
        </w:rPr>
      </w:pPr>
      <w:r>
        <w:rPr>
          <w:rFonts w:ascii="Arial" w:cs="Arial" w:eastAsia="Arial" w:hAnsi="Arial"/>
          <w:sz w:val="17"/>
          <w:szCs w:val="17"/>
          <w:color w:val="auto"/>
        </w:rPr>
        <w:t>Soliciting Material under §240.14a-12</w:t>
      </w:r>
    </w:p>
    <w:p>
      <w:pPr>
        <w:spacing w:after="0" w:line="27" w:lineRule="exact"/>
        <w:rPr>
          <w:sz w:val="24"/>
          <w:szCs w:val="24"/>
          <w:color w:val="auto"/>
        </w:rPr>
      </w:pPr>
    </w:p>
    <w:p>
      <w:pPr>
        <w:ind w:left="4620"/>
        <w:spacing w:after="0"/>
        <w:rPr>
          <w:sz w:val="20"/>
          <w:szCs w:val="20"/>
          <w:color w:val="auto"/>
        </w:rPr>
      </w:pPr>
      <w:r>
        <w:rPr>
          <w:rFonts w:ascii="Arial" w:cs="Arial" w:eastAsia="Arial" w:hAnsi="Arial"/>
          <w:sz w:val="27"/>
          <w:szCs w:val="27"/>
          <w:b w:val="1"/>
          <w:bCs w:val="1"/>
          <w:color w:val="auto"/>
        </w:rPr>
        <w:t>Middleby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2548255</wp:posOffset>
            </wp:positionH>
            <wp:positionV relativeFrom="paragraph">
              <wp:posOffset>129540</wp:posOffset>
            </wp:positionV>
            <wp:extent cx="2003425" cy="296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03425" cy="296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ind w:right="-1080"/>
        <w:spacing w:after="0"/>
        <w:rPr>
          <w:sz w:val="20"/>
          <w:szCs w:val="20"/>
          <w:color w:val="auto"/>
        </w:rPr>
      </w:pPr>
      <w:r>
        <w:rPr>
          <w:rFonts w:ascii="Arial" w:cs="Arial" w:eastAsia="Arial" w:hAnsi="Arial"/>
          <w:sz w:val="17"/>
          <w:szCs w:val="17"/>
          <w:i w:val="1"/>
          <w:iCs w:val="1"/>
          <w:color w:val="auto"/>
        </w:rPr>
        <w:t>(Name of Registrant as Specified in Its Charter)</w:t>
      </w:r>
    </w:p>
    <w:p>
      <w:pPr>
        <w:spacing w:after="0" w:line="82" w:lineRule="exact"/>
        <w:rPr>
          <w:sz w:val="24"/>
          <w:szCs w:val="24"/>
          <w:color w:val="auto"/>
        </w:rPr>
      </w:pPr>
    </w:p>
    <w:p>
      <w:pPr>
        <w:jc w:val="center"/>
        <w:ind w:right="-1080"/>
        <w:spacing w:after="0"/>
        <w:rPr>
          <w:sz w:val="20"/>
          <w:szCs w:val="20"/>
          <w:color w:val="auto"/>
        </w:rPr>
      </w:pPr>
      <w:r>
        <w:rPr>
          <w:rFonts w:ascii="Arial" w:cs="Arial" w:eastAsia="Arial" w:hAnsi="Arial"/>
          <w:sz w:val="17"/>
          <w:szCs w:val="17"/>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-24130</wp:posOffset>
            </wp:positionH>
            <wp:positionV relativeFrom="paragraph">
              <wp:posOffset>45720</wp:posOffset>
            </wp:positionV>
            <wp:extent cx="7141210" cy="881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81380"/>
                    </a:xfrm>
                    <a:prstGeom prst="rect">
                      <a:avLst/>
                    </a:prstGeom>
                    <a:noFill/>
                  </pic:spPr>
                </pic:pic>
              </a:graphicData>
            </a:graphic>
          </wp:anchor>
        </w:drawing>
      </w:r>
    </w:p>
    <w:p>
      <w:pPr>
        <w:spacing w:after="0" w:line="64"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Payment of Filing Fee (Check all boxes that apply):</w:t>
      </w:r>
    </w:p>
    <w:p>
      <w:pPr>
        <w:spacing w:after="0" w:line="183" w:lineRule="exact"/>
        <w:rPr>
          <w:sz w:val="24"/>
          <w:szCs w:val="24"/>
          <w:color w:val="auto"/>
        </w:rPr>
      </w:pPr>
    </w:p>
    <w:p>
      <w:pPr>
        <w:ind w:left="580"/>
        <w:spacing w:after="0"/>
        <w:rPr>
          <w:sz w:val="20"/>
          <w:szCs w:val="20"/>
          <w:color w:val="auto"/>
        </w:rPr>
      </w:pPr>
      <w:r>
        <w:rPr>
          <w:rFonts w:ascii="Arial" w:cs="Arial" w:eastAsia="Arial" w:hAnsi="Arial"/>
          <w:sz w:val="17"/>
          <w:szCs w:val="17"/>
          <w:b w:val="1"/>
          <w:bCs w:val="1"/>
          <w:color w:val="auto"/>
        </w:rPr>
        <w:t>No fee required.</w:t>
      </w:r>
    </w:p>
    <w:p>
      <w:pPr>
        <w:spacing w:after="0" w:line="171" w:lineRule="exact"/>
        <w:rPr>
          <w:sz w:val="24"/>
          <w:szCs w:val="24"/>
          <w:color w:val="auto"/>
        </w:rPr>
      </w:pPr>
    </w:p>
    <w:p>
      <w:pPr>
        <w:ind w:left="580"/>
        <w:spacing w:after="0"/>
        <w:rPr>
          <w:sz w:val="20"/>
          <w:szCs w:val="20"/>
          <w:color w:val="auto"/>
        </w:rPr>
      </w:pPr>
      <w:r>
        <w:rPr>
          <w:rFonts w:ascii="Arial" w:cs="Arial" w:eastAsia="Arial" w:hAnsi="Arial"/>
          <w:sz w:val="17"/>
          <w:szCs w:val="17"/>
          <w:b w:val="1"/>
          <w:bCs w:val="1"/>
          <w:color w:val="auto"/>
        </w:rPr>
        <w:t>Fee paid previously with preliminary materials.</w:t>
      </w:r>
    </w:p>
    <w:p>
      <w:pPr>
        <w:spacing w:after="0" w:line="171" w:lineRule="exact"/>
        <w:rPr>
          <w:sz w:val="24"/>
          <w:szCs w:val="24"/>
          <w:color w:val="auto"/>
        </w:rPr>
      </w:pPr>
    </w:p>
    <w:p>
      <w:pPr>
        <w:ind w:left="580"/>
        <w:spacing w:after="0"/>
        <w:rPr>
          <w:sz w:val="20"/>
          <w:szCs w:val="20"/>
          <w:color w:val="auto"/>
        </w:rPr>
      </w:pPr>
      <w:r>
        <w:rPr>
          <w:rFonts w:ascii="Arial" w:cs="Arial" w:eastAsia="Arial" w:hAnsi="Arial"/>
          <w:sz w:val="17"/>
          <w:szCs w:val="17"/>
          <w:b w:val="1"/>
          <w:bCs w:val="1"/>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-24130</wp:posOffset>
            </wp:positionH>
            <wp:positionV relativeFrom="paragraph">
              <wp:posOffset>167005</wp:posOffset>
            </wp:positionV>
            <wp:extent cx="7141210" cy="31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0099"/>
          </w:cols>
          <w:pgMar w:left="360" w:top="224"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257175</wp:posOffset>
            </wp:positionV>
            <wp:extent cx="7141210" cy="85356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8535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34"/>
          <w:szCs w:val="34"/>
          <w:b w:val="1"/>
          <w:bCs w:val="1"/>
          <w:color w:val="00304D"/>
        </w:rPr>
        <w:t>This is Middleby</w:t>
      </w:r>
    </w:p>
    <w:p>
      <w:pPr>
        <w:spacing w:after="0" w:line="200" w:lineRule="exact"/>
        <w:rPr>
          <w:sz w:val="20"/>
          <w:szCs w:val="20"/>
          <w:color w:val="auto"/>
        </w:rPr>
      </w:pPr>
    </w:p>
    <w:p>
      <w:pPr>
        <w:spacing w:after="0" w:line="201" w:lineRule="exact"/>
        <w:rPr>
          <w:sz w:val="20"/>
          <w:szCs w:val="20"/>
          <w:color w:val="auto"/>
        </w:rPr>
      </w:pPr>
    </w:p>
    <w:p>
      <w:pPr>
        <w:ind w:right="180"/>
        <w:spacing w:after="0" w:line="253" w:lineRule="auto"/>
        <w:rPr>
          <w:sz w:val="20"/>
          <w:szCs w:val="20"/>
          <w:color w:val="auto"/>
        </w:rPr>
      </w:pPr>
      <w:r>
        <w:rPr>
          <w:rFonts w:ascii="Arial" w:cs="Arial" w:eastAsia="Arial" w:hAnsi="Arial"/>
          <w:sz w:val="20"/>
          <w:szCs w:val="20"/>
          <w:b w:val="1"/>
          <w:bCs w:val="1"/>
          <w:color w:val="265E7C"/>
        </w:rPr>
        <w:t>Middleby is a global leader in the foodservice industry. The company develops and manufactures a broad line of solutions used in commercial foodservice and food processing. Middleby showcases its advanced solutions in the Middleby Innovation Kitchens for commercial foodservice, and industrial baking and protein Innovation Centers for food processing solutions.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20"/>
          <w:szCs w:val="20"/>
          <w:b w:val="1"/>
          <w:bCs w:val="1"/>
          <w:color w:val="265E7C"/>
        </w:rPr>
        <w:t>We are committed to delivering new, innovative solutions to the markets we serve, which are quickly evolving in both of our business segments. These innovations deliver speed, versatility, automation, safety, energy savings and other sustainable operating benefits to our customers.</w:t>
      </w:r>
    </w:p>
    <w:p>
      <w:pPr>
        <w:spacing w:after="0" w:line="108" w:lineRule="exact"/>
        <w:rPr>
          <w:sz w:val="20"/>
          <w:szCs w:val="20"/>
          <w:color w:val="auto"/>
        </w:rPr>
      </w:pPr>
    </w:p>
    <w:p>
      <w:pPr>
        <w:ind w:right="40"/>
        <w:spacing w:after="0" w:line="261" w:lineRule="auto"/>
        <w:rPr>
          <w:sz w:val="20"/>
          <w:szCs w:val="20"/>
          <w:color w:val="auto"/>
        </w:rPr>
      </w:pPr>
      <w:r>
        <w:rPr>
          <w:rFonts w:ascii="Arial" w:cs="Arial" w:eastAsia="Arial" w:hAnsi="Arial"/>
          <w:sz w:val="20"/>
          <w:szCs w:val="20"/>
          <w:b w:val="1"/>
          <w:bCs w:val="1"/>
          <w:color w:val="265E7C"/>
        </w:rPr>
        <w:t>While we are dedicated to our global customer base, Middleby also prioritizes connecting with the communities where we live and work through philanthropic efforts and sustainable initiatives. We endeavor to set the standard for tomorrow, with a goal of serving excellence in everything we do today.</w:t>
      </w:r>
    </w:p>
    <w:p>
      <w:pPr>
        <w:spacing w:after="0" w:line="200" w:lineRule="exact"/>
        <w:rPr>
          <w:sz w:val="20"/>
          <w:szCs w:val="20"/>
          <w:color w:val="auto"/>
        </w:rPr>
      </w:pPr>
    </w:p>
    <w:p>
      <w:pPr>
        <w:spacing w:after="0" w:line="211"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00304D"/>
        </w:rPr>
        <w:t>Commercial Foodservice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-128905</wp:posOffset>
            </wp:positionV>
            <wp:extent cx="464820" cy="4489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4820" cy="448945"/>
                    </a:xfrm>
                    <a:prstGeom prst="rect">
                      <a:avLst/>
                    </a:prstGeom>
                    <a:noFill/>
                  </pic:spPr>
                </pic:pic>
              </a:graphicData>
            </a:graphic>
          </wp:anchor>
        </w:drawing>
      </w:r>
    </w:p>
    <w:p>
      <w:pPr>
        <w:spacing w:after="0" w:line="75" w:lineRule="exact"/>
        <w:rPr>
          <w:sz w:val="20"/>
          <w:szCs w:val="20"/>
          <w:color w:val="auto"/>
        </w:rPr>
      </w:pPr>
    </w:p>
    <w:p>
      <w:pPr>
        <w:ind w:left="1340" w:right="380"/>
        <w:spacing w:after="0"/>
        <w:rPr>
          <w:sz w:val="20"/>
          <w:szCs w:val="20"/>
          <w:color w:val="auto"/>
        </w:rPr>
      </w:pPr>
      <w:r>
        <w:rPr>
          <w:rFonts w:ascii="Arial" w:cs="Arial" w:eastAsia="Arial" w:hAnsi="Arial"/>
          <w:sz w:val="17"/>
          <w:szCs w:val="17"/>
          <w:color w:val="265E7C"/>
        </w:rPr>
        <w:t>Middleby is the worldwide leader in innovative solutions for commercial foodservice. We develop and manufacture advanced cooking, warming, and beverage equipment, along with innovative IoT and automation solutions to enhance operations for commercial foodservice operators. Middleby brands can be found in a wide array of foodservice businesses, including quick service, fast casual, pizza, independent restaurants, casual and fine dining establishments, grocery and convenience stores and institutional commissaries and stadiums.</w:t>
      </w:r>
    </w:p>
    <w:p>
      <w:pPr>
        <w:spacing w:after="0" w:line="250"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7496AF"/>
        </w:rPr>
        <w:t>Food Processing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-128905</wp:posOffset>
            </wp:positionV>
            <wp:extent cx="456565" cy="4489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6565" cy="448945"/>
                    </a:xfrm>
                    <a:prstGeom prst="rect">
                      <a:avLst/>
                    </a:prstGeom>
                    <a:noFill/>
                  </pic:spPr>
                </pic:pic>
              </a:graphicData>
            </a:graphic>
          </wp:anchor>
        </w:drawing>
      </w:r>
    </w:p>
    <w:p>
      <w:pPr>
        <w:spacing w:after="0" w:line="75" w:lineRule="exact"/>
        <w:rPr>
          <w:sz w:val="20"/>
          <w:szCs w:val="20"/>
          <w:color w:val="auto"/>
        </w:rPr>
      </w:pPr>
    </w:p>
    <w:p>
      <w:pPr>
        <w:ind w:left="1340" w:right="160"/>
        <w:spacing w:after="0" w:line="243" w:lineRule="auto"/>
        <w:rPr>
          <w:sz w:val="20"/>
          <w:szCs w:val="20"/>
          <w:color w:val="auto"/>
        </w:rPr>
      </w:pPr>
      <w:r>
        <w:rPr>
          <w:rFonts w:ascii="Arial" w:cs="Arial" w:eastAsia="Arial" w:hAnsi="Arial"/>
          <w:sz w:val="17"/>
          <w:szCs w:val="17"/>
          <w:color w:val="265E7C"/>
        </w:rPr>
        <w:t>Middleby develops innovative, industry-leading solutions for industrial protein processing, high-volume baking, snack food, packaging and other specialty areas where automated and large scale food production is required. With a broad offering of highly respected brands and advanced technologies, Middleby has the ability to fully integrate a wide array of total line solutions to deliver efficiency, flexibility, quality and consistency.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6692900</wp:posOffset>
            </wp:positionH>
            <wp:positionV relativeFrom="paragraph">
              <wp:posOffset>-354965</wp:posOffset>
            </wp:positionV>
            <wp:extent cx="456565" cy="473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6565" cy="4730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269240</wp:posOffset>
            </wp:positionV>
            <wp:extent cx="7141210" cy="31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 w:name="page4"/>
    <w:bookmarkEnd w:id="3"/>
    <w:p>
      <w:pPr>
        <w:spacing w:after="0" w:line="192"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May 19, 2026</w:t>
      </w:r>
    </w:p>
    <w:p>
      <w:pPr>
        <w:spacing w:after="0" w:line="18" w:lineRule="exact"/>
        <w:rPr>
          <w:sz w:val="20"/>
          <w:szCs w:val="20"/>
          <w:color w:val="auto"/>
        </w:rPr>
      </w:pPr>
    </w:p>
    <w:p>
      <w:pPr>
        <w:ind w:left="4060"/>
        <w:spacing w:after="0"/>
        <w:rPr>
          <w:sz w:val="20"/>
          <w:szCs w:val="20"/>
          <w:color w:val="auto"/>
        </w:rPr>
      </w:pPr>
      <w:r>
        <w:rPr>
          <w:rFonts w:ascii="Arial" w:cs="Arial" w:eastAsia="Arial" w:hAnsi="Arial"/>
          <w:sz w:val="20"/>
          <w:szCs w:val="20"/>
          <w:b w:val="1"/>
          <w:bCs w:val="1"/>
          <w:color w:val="auto"/>
        </w:rPr>
        <w:t>3:00 p.m. CDT</w:t>
      </w:r>
    </w:p>
    <w:p>
      <w:pPr>
        <w:spacing w:after="0" w:line="163" w:lineRule="exact"/>
        <w:rPr>
          <w:sz w:val="20"/>
          <w:szCs w:val="20"/>
          <w:color w:val="auto"/>
        </w:rPr>
      </w:pPr>
    </w:p>
    <w:p>
      <w:pPr>
        <w:jc w:val="right"/>
        <w:ind w:right="40"/>
        <w:spacing w:after="0"/>
        <w:rPr>
          <w:sz w:val="20"/>
          <w:szCs w:val="20"/>
          <w:color w:val="auto"/>
        </w:rPr>
      </w:pPr>
      <w:r>
        <w:rPr>
          <w:rFonts w:ascii="Arial" w:cs="Arial" w:eastAsia="Arial" w:hAnsi="Arial"/>
          <w:sz w:val="17"/>
          <w:szCs w:val="17"/>
          <w:b w:val="1"/>
          <w:bCs w:val="1"/>
          <w:color w:val="auto"/>
        </w:rPr>
        <w:t>Virtual Meeting</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www.virtualshareholdermeeting.com/MIDD2026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798195</wp:posOffset>
            </wp:positionV>
            <wp:extent cx="3430270" cy="26130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30270" cy="261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60" w:right="180"/>
        <w:spacing w:after="0" w:line="294" w:lineRule="auto"/>
        <w:rPr>
          <w:sz w:val="20"/>
          <w:szCs w:val="20"/>
          <w:color w:val="auto"/>
        </w:rPr>
      </w:pPr>
      <w:r>
        <w:rPr>
          <w:rFonts w:ascii="Arial" w:cs="Arial" w:eastAsia="Arial" w:hAnsi="Arial"/>
          <w:sz w:val="15"/>
          <w:szCs w:val="15"/>
          <w:b w:val="1"/>
          <w:bCs w:val="1"/>
          <w:color w:val="00304D"/>
        </w:rPr>
        <w:t>The Annual Meeting of Stockholders of The Middleby Corporation will be held for the following purposes:</w:t>
      </w:r>
    </w:p>
    <w:p>
      <w:pPr>
        <w:spacing w:after="0" w:line="120" w:lineRule="exact"/>
        <w:rPr>
          <w:sz w:val="20"/>
          <w:szCs w:val="20"/>
          <w:color w:val="auto"/>
        </w:rPr>
      </w:pPr>
    </w:p>
    <w:p>
      <w:pPr>
        <w:ind w:left="160"/>
        <w:spacing w:after="0"/>
        <w:rPr>
          <w:sz w:val="20"/>
          <w:szCs w:val="20"/>
          <w:color w:val="auto"/>
        </w:rPr>
      </w:pPr>
      <w:r>
        <w:rPr>
          <w:rFonts w:ascii="Arial" w:cs="Arial" w:eastAsia="Arial" w:hAnsi="Arial"/>
          <w:sz w:val="15"/>
          <w:szCs w:val="15"/>
          <w:b w:val="1"/>
          <w:bCs w:val="1"/>
          <w:i w:val="1"/>
          <w:iCs w:val="1"/>
          <w:color w:val="265E7C"/>
        </w:rPr>
        <w:t>AGENDA</w:t>
      </w:r>
    </w:p>
    <w:p>
      <w:pPr>
        <w:spacing w:after="0" w:line="93" w:lineRule="exact"/>
        <w:rPr>
          <w:sz w:val="20"/>
          <w:szCs w:val="20"/>
          <w:color w:val="auto"/>
        </w:rPr>
      </w:pPr>
    </w:p>
    <w:p>
      <w:pPr>
        <w:ind w:left="480" w:hanging="311"/>
        <w:spacing w:after="0"/>
        <w:tabs>
          <w:tab w:leader="none" w:pos="480" w:val="left"/>
        </w:tabs>
        <w:numPr>
          <w:ilvl w:val="0"/>
          <w:numId w:val="1"/>
        </w:numPr>
        <w:rPr>
          <w:rFonts w:ascii="Arial" w:cs="Arial" w:eastAsia="Arial" w:hAnsi="Arial"/>
          <w:sz w:val="15"/>
          <w:szCs w:val="15"/>
          <w:b w:val="1"/>
          <w:bCs w:val="1"/>
          <w:color w:val="265E7C"/>
        </w:rPr>
      </w:pPr>
      <w:r>
        <w:rPr>
          <w:rFonts w:ascii="Arial" w:cs="Arial" w:eastAsia="Arial" w:hAnsi="Arial"/>
          <w:sz w:val="15"/>
          <w:szCs w:val="15"/>
          <w:color w:val="00304D"/>
        </w:rPr>
        <w:t>To elect eleven directors to hold office until the 2027 Annual Meeting.</w:t>
      </w:r>
    </w:p>
    <w:p>
      <w:pPr>
        <w:spacing w:after="0" w:line="79" w:lineRule="exact"/>
        <w:rPr>
          <w:rFonts w:ascii="Arial" w:cs="Arial" w:eastAsia="Arial" w:hAnsi="Arial"/>
          <w:sz w:val="15"/>
          <w:szCs w:val="15"/>
          <w:b w:val="1"/>
          <w:bCs w:val="1"/>
          <w:color w:val="265E7C"/>
        </w:rPr>
      </w:pPr>
    </w:p>
    <w:p>
      <w:pPr>
        <w:ind w:left="480" w:right="180" w:hanging="311"/>
        <w:spacing w:after="0" w:line="282" w:lineRule="auto"/>
        <w:tabs>
          <w:tab w:leader="none" w:pos="480" w:val="left"/>
        </w:tabs>
        <w:numPr>
          <w:ilvl w:val="0"/>
          <w:numId w:val="1"/>
        </w:numPr>
        <w:rPr>
          <w:rFonts w:ascii="Arial" w:cs="Arial" w:eastAsia="Arial" w:hAnsi="Arial"/>
          <w:sz w:val="15"/>
          <w:szCs w:val="15"/>
          <w:b w:val="1"/>
          <w:bCs w:val="1"/>
          <w:color w:val="265E7C"/>
        </w:rPr>
      </w:pPr>
      <w:r>
        <w:rPr>
          <w:rFonts w:ascii="Arial" w:cs="Arial" w:eastAsia="Arial" w:hAnsi="Arial"/>
          <w:sz w:val="15"/>
          <w:szCs w:val="15"/>
          <w:color w:val="00304D"/>
        </w:rPr>
        <w:t>To approve, on an advisory basis, the compensation of our named executive officers.</w:t>
      </w:r>
    </w:p>
    <w:p>
      <w:pPr>
        <w:spacing w:after="0" w:line="23" w:lineRule="exact"/>
        <w:rPr>
          <w:rFonts w:ascii="Arial" w:cs="Arial" w:eastAsia="Arial" w:hAnsi="Arial"/>
          <w:sz w:val="15"/>
          <w:szCs w:val="15"/>
          <w:b w:val="1"/>
          <w:bCs w:val="1"/>
          <w:color w:val="265E7C"/>
        </w:rPr>
      </w:pPr>
    </w:p>
    <w:p>
      <w:pPr>
        <w:jc w:val="both"/>
        <w:ind w:left="480" w:right="180" w:hanging="311"/>
        <w:spacing w:after="0" w:line="264" w:lineRule="auto"/>
        <w:tabs>
          <w:tab w:leader="none" w:pos="480" w:val="left"/>
        </w:tabs>
        <w:numPr>
          <w:ilvl w:val="0"/>
          <w:numId w:val="1"/>
        </w:numPr>
        <w:rPr>
          <w:rFonts w:ascii="Arial" w:cs="Arial" w:eastAsia="Arial" w:hAnsi="Arial"/>
          <w:sz w:val="15"/>
          <w:szCs w:val="15"/>
          <w:b w:val="1"/>
          <w:bCs w:val="1"/>
          <w:color w:val="265E7C"/>
        </w:rPr>
      </w:pPr>
      <w:r>
        <w:rPr>
          <w:rFonts w:ascii="Arial" w:cs="Arial" w:eastAsia="Arial" w:hAnsi="Arial"/>
          <w:sz w:val="15"/>
          <w:szCs w:val="15"/>
          <w:color w:val="00304D"/>
        </w:rPr>
        <w:t>To ratify the selection of Ernst &amp; Young LLP as Middleby’s independent registered public accountants for the fiscal year ending January 2, 2027.</w:t>
      </w:r>
    </w:p>
    <w:p>
      <w:pPr>
        <w:spacing w:after="0" w:line="36" w:lineRule="exact"/>
        <w:rPr>
          <w:rFonts w:ascii="Arial" w:cs="Arial" w:eastAsia="Arial" w:hAnsi="Arial"/>
          <w:sz w:val="15"/>
          <w:szCs w:val="15"/>
          <w:b w:val="1"/>
          <w:bCs w:val="1"/>
          <w:color w:val="265E7C"/>
        </w:rPr>
      </w:pPr>
    </w:p>
    <w:p>
      <w:pPr>
        <w:ind w:left="480" w:right="180" w:hanging="311"/>
        <w:spacing w:after="0" w:line="282" w:lineRule="auto"/>
        <w:tabs>
          <w:tab w:leader="none" w:pos="480" w:val="left"/>
        </w:tabs>
        <w:numPr>
          <w:ilvl w:val="0"/>
          <w:numId w:val="1"/>
        </w:numPr>
        <w:rPr>
          <w:rFonts w:ascii="Arial" w:cs="Arial" w:eastAsia="Arial" w:hAnsi="Arial"/>
          <w:sz w:val="15"/>
          <w:szCs w:val="15"/>
          <w:b w:val="1"/>
          <w:bCs w:val="1"/>
          <w:color w:val="265E7C"/>
        </w:rPr>
      </w:pPr>
      <w:r>
        <w:rPr>
          <w:rFonts w:ascii="Arial" w:cs="Arial" w:eastAsia="Arial" w:hAnsi="Arial"/>
          <w:sz w:val="15"/>
          <w:szCs w:val="15"/>
          <w:color w:val="00304D"/>
        </w:rPr>
        <w:t>To transact such other business as may properly come before the Annual Meeting or any adjournment or postponement thereof.</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15"/>
          <w:szCs w:val="15"/>
          <w:b w:val="1"/>
          <w:bCs w:val="1"/>
          <w:i w:val="1"/>
          <w:iCs w:val="1"/>
          <w:color w:val="265E7C"/>
        </w:rPr>
        <w:t>RECORD DATE:</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5"/>
          <w:szCs w:val="15"/>
          <w:color w:val="00304D"/>
        </w:rPr>
        <w:t>March 20, 2026</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5"/>
          <w:szCs w:val="15"/>
          <w:color w:val="00304D"/>
        </w:rPr>
        <w:t>By Order of the Board of Directors</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00304D"/>
        </w:rPr>
        <w:t>Michael D. Thompson</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5"/>
          <w:szCs w:val="15"/>
          <w:i w:val="1"/>
          <w:iCs w:val="1"/>
          <w:color w:val="00304D"/>
        </w:rPr>
        <w:t>General Counsel and Secretary</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Arial" w:cs="Arial" w:eastAsia="Arial" w:hAnsi="Arial"/>
          <w:sz w:val="71"/>
          <w:szCs w:val="71"/>
          <w:b w:val="1"/>
          <w:bCs w:val="1"/>
          <w:color w:val="265E7C"/>
        </w:rPr>
        <w:t>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1694180</wp:posOffset>
            </wp:positionH>
            <wp:positionV relativeFrom="paragraph">
              <wp:posOffset>-1226820</wp:posOffset>
            </wp:positionV>
            <wp:extent cx="1739265" cy="248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39265" cy="248285"/>
                    </a:xfrm>
                    <a:prstGeom prst="rect">
                      <a:avLst/>
                    </a:prstGeom>
                    <a:noFill/>
                  </pic:spPr>
                </pic:pic>
              </a:graphicData>
            </a:graphic>
          </wp:anchor>
        </w:drawing>
      </w:r>
    </w:p>
    <w:p>
      <w:pPr>
        <w:spacing w:after="0" w:line="37" w:lineRule="exact"/>
        <w:rPr>
          <w:sz w:val="20"/>
          <w:szCs w:val="20"/>
          <w:color w:val="auto"/>
        </w:rPr>
      </w:pPr>
    </w:p>
    <w:p>
      <w:pPr>
        <w:ind w:right="1060"/>
        <w:spacing w:after="0" w:line="259" w:lineRule="auto"/>
        <w:rPr>
          <w:sz w:val="20"/>
          <w:szCs w:val="20"/>
          <w:color w:val="auto"/>
        </w:rPr>
      </w:pPr>
      <w:r>
        <w:rPr>
          <w:rFonts w:ascii="Arial" w:cs="Arial" w:eastAsia="Arial" w:hAnsi="Arial"/>
          <w:sz w:val="44"/>
          <w:szCs w:val="44"/>
          <w:b w:val="1"/>
          <w:bCs w:val="1"/>
          <w:color w:val="00304D"/>
        </w:rPr>
        <w:t>of Annual Meeting of Stockholders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65E7C"/>
        </w:rPr>
        <w:t>WHO MAY VOTE:</w:t>
      </w:r>
    </w:p>
    <w:p>
      <w:pPr>
        <w:spacing w:after="0" w:line="9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Your vote is important to us. Even if you plan to attend the Annual Meeting virtually, we urge you to return your proxy promptly. For more information about how to vote, please see “</w:t>
      </w:r>
      <w:r>
        <w:rPr>
          <w:rFonts w:ascii="Arial" w:cs="Arial" w:eastAsia="Arial" w:hAnsi="Arial"/>
          <w:sz w:val="15"/>
          <w:szCs w:val="15"/>
          <w:i w:val="1"/>
          <w:iCs w:val="1"/>
          <w:color w:val="auto"/>
        </w:rPr>
        <w:t>Information About the Annual Meeting,</w:t>
      </w:r>
      <w:r>
        <w:rPr>
          <w:rFonts w:ascii="Arial" w:cs="Arial" w:eastAsia="Arial" w:hAnsi="Arial"/>
          <w:sz w:val="15"/>
          <w:szCs w:val="15"/>
          <w:color w:val="auto"/>
        </w:rPr>
        <w:t>” which begins on page 58.</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65E7C"/>
        </w:rPr>
        <w:t>HOW TO ATTEND:</w:t>
      </w:r>
    </w:p>
    <w:p>
      <w:pPr>
        <w:spacing w:after="0" w:line="93"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To attend and register for the virtual meeting, please see “</w:t>
      </w:r>
      <w:r>
        <w:rPr>
          <w:rFonts w:ascii="Arial" w:cs="Arial" w:eastAsia="Arial" w:hAnsi="Arial"/>
          <w:sz w:val="15"/>
          <w:szCs w:val="15"/>
          <w:i w:val="1"/>
          <w:iCs w:val="1"/>
          <w:color w:val="auto"/>
        </w:rPr>
        <w:t>Information About the</w:t>
      </w:r>
      <w:r>
        <w:rPr>
          <w:rFonts w:ascii="Arial" w:cs="Arial" w:eastAsia="Arial" w:hAnsi="Arial"/>
          <w:sz w:val="15"/>
          <w:szCs w:val="15"/>
          <w:color w:val="auto"/>
        </w:rPr>
        <w:t xml:space="preserve"> </w:t>
      </w:r>
      <w:r>
        <w:rPr>
          <w:rFonts w:ascii="Arial" w:cs="Arial" w:eastAsia="Arial" w:hAnsi="Arial"/>
          <w:sz w:val="15"/>
          <w:szCs w:val="15"/>
          <w:i w:val="1"/>
          <w:iCs w:val="1"/>
          <w:color w:val="auto"/>
        </w:rPr>
        <w:t>Annual Meeting,</w:t>
      </w:r>
      <w:r>
        <w:rPr>
          <w:rFonts w:ascii="Arial" w:cs="Arial" w:eastAsia="Arial" w:hAnsi="Arial"/>
          <w:sz w:val="15"/>
          <w:szCs w:val="15"/>
          <w:color w:val="auto"/>
        </w:rPr>
        <w:t>” which begins on page 58.</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65E7C"/>
        </w:rPr>
        <w:t>DELIVERY OF ANNUAL MEETING MATERIALS:</w:t>
      </w:r>
    </w:p>
    <w:p>
      <w:pPr>
        <w:spacing w:after="0" w:line="9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Notice of Internet Availability of Proxy Materials, this Proxy Statement, and Middleby’s Annual Report on Form 10-K for the fiscal year ended January 3, 2026, are being distributed or made available to stockholders on or about April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170180</wp:posOffset>
            </wp:positionV>
            <wp:extent cx="3430270" cy="12185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30270" cy="1218565"/>
                    </a:xfrm>
                    <a:prstGeom prst="rect">
                      <a:avLst/>
                    </a:prstGeom>
                    <a:noFill/>
                  </pic:spPr>
                </pic:pic>
              </a:graphicData>
            </a:graphic>
          </wp:anchor>
        </w:drawing>
      </w:r>
    </w:p>
    <w:p>
      <w:pPr>
        <w:spacing w:after="0" w:line="400" w:lineRule="exact"/>
        <w:rPr>
          <w:sz w:val="20"/>
          <w:szCs w:val="20"/>
          <w:color w:val="auto"/>
        </w:rPr>
      </w:pPr>
    </w:p>
    <w:p>
      <w:pPr>
        <w:jc w:val="both"/>
        <w:ind w:left="180" w:right="160"/>
        <w:spacing w:after="0" w:line="251" w:lineRule="auto"/>
        <w:rPr>
          <w:sz w:val="20"/>
          <w:szCs w:val="20"/>
          <w:color w:val="auto"/>
        </w:rPr>
      </w:pPr>
      <w:r>
        <w:rPr>
          <w:rFonts w:ascii="Arial" w:cs="Arial" w:eastAsia="Arial" w:hAnsi="Arial"/>
          <w:sz w:val="15"/>
          <w:szCs w:val="15"/>
          <w:b w:val="1"/>
          <w:bCs w:val="1"/>
          <w:i w:val="1"/>
          <w:iCs w:val="1"/>
          <w:color w:val="265E7C"/>
        </w:rPr>
        <w:t>We are holding the Annual Meeting virtually. In order to attend and participate in the Annual Meeting, you will need the 16-digit control number included on your Notice of Internet Availability of Proxy Materials, proxy card, or voting instruction card. You may also ask questions and vote online by following the instructions provided at www.virtualshareholdermeeting.com/MIDD2026 during the Annual Meeting. A list of stockholders entitled to vote at the annual meeting will be available for stockholders as of the record date upon request by sending an email to legal@middleby.com.</w:t>
      </w:r>
    </w:p>
    <w:p>
      <w:pPr>
        <w:spacing w:after="0" w:line="200" w:lineRule="exact"/>
        <w:rPr>
          <w:sz w:val="20"/>
          <w:szCs w:val="20"/>
          <w:color w:val="auto"/>
        </w:rPr>
      </w:pPr>
    </w:p>
    <w:p>
      <w:pPr>
        <w:sectPr>
          <w:pgSz w:w="11900" w:h="16838" w:orient="portrait"/>
          <w:cols w:equalWidth="0" w:num="2">
            <w:col w:w="5400" w:space="440"/>
            <w:col w:w="5400"/>
          </w:cols>
          <w:pgMar w:left="320" w:top="1440" w:right="339" w:bottom="1440" w:gutter="0" w:footer="0" w:header="0"/>
        </w:sect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303"/>
        </w:trPr>
        <w:tc>
          <w:tcPr>
            <w:tcW w:w="4620" w:type="dxa"/>
            <w:vAlign w:val="bottom"/>
            <w:tcBorders>
              <w:top w:val="single" w:sz="8" w:color="002F4D"/>
              <w:left w:val="single" w:sz="8" w:color="002F4D"/>
            </w:tcBorders>
          </w:tcPr>
          <w:p>
            <w:pPr>
              <w:ind w:left="140"/>
              <w:spacing w:after="0"/>
              <w:rPr>
                <w:sz w:val="20"/>
                <w:szCs w:val="20"/>
                <w:color w:val="auto"/>
              </w:rPr>
            </w:pPr>
            <w:r>
              <w:rPr>
                <w:rFonts w:ascii="Arial" w:cs="Arial" w:eastAsia="Arial" w:hAnsi="Arial"/>
                <w:sz w:val="15"/>
                <w:szCs w:val="15"/>
                <w:b w:val="1"/>
                <w:bCs w:val="1"/>
                <w:i w:val="1"/>
                <w:iCs w:val="1"/>
                <w:color w:val="265E7C"/>
              </w:rPr>
              <w:t>REVIEW YOUR PROXY STATEMENT</w:t>
            </w:r>
          </w:p>
        </w:tc>
        <w:tc>
          <w:tcPr>
            <w:tcW w:w="1720" w:type="dxa"/>
            <w:vAlign w:val="bottom"/>
            <w:tcBorders>
              <w:top w:val="single" w:sz="8" w:color="002F4D"/>
            </w:tcBorders>
          </w:tcPr>
          <w:p>
            <w:pPr>
              <w:spacing w:after="0"/>
              <w:rPr>
                <w:sz w:val="24"/>
                <w:szCs w:val="24"/>
                <w:color w:val="auto"/>
              </w:rPr>
            </w:pPr>
          </w:p>
        </w:tc>
        <w:tc>
          <w:tcPr>
            <w:tcW w:w="1640" w:type="dxa"/>
            <w:vAlign w:val="bottom"/>
            <w:tcBorders>
              <w:top w:val="single" w:sz="8" w:color="002F4D"/>
            </w:tcBorders>
          </w:tcPr>
          <w:p>
            <w:pPr>
              <w:spacing w:after="0"/>
              <w:rPr>
                <w:sz w:val="24"/>
                <w:szCs w:val="24"/>
                <w:color w:val="auto"/>
              </w:rPr>
            </w:pPr>
          </w:p>
        </w:tc>
        <w:tc>
          <w:tcPr>
            <w:tcW w:w="1660" w:type="dxa"/>
            <w:vAlign w:val="bottom"/>
            <w:tcBorders>
              <w:top w:val="single" w:sz="8" w:color="002F4D"/>
            </w:tcBorders>
          </w:tcPr>
          <w:p>
            <w:pPr>
              <w:spacing w:after="0"/>
              <w:rPr>
                <w:sz w:val="24"/>
                <w:szCs w:val="24"/>
                <w:color w:val="auto"/>
              </w:rPr>
            </w:pPr>
          </w:p>
        </w:tc>
        <w:tc>
          <w:tcPr>
            <w:tcW w:w="1480" w:type="dxa"/>
            <w:vAlign w:val="bottom"/>
            <w:tcBorders>
              <w:top w:val="single" w:sz="8" w:color="002F4D"/>
            </w:tcBorders>
          </w:tcPr>
          <w:p>
            <w:pPr>
              <w:spacing w:after="0"/>
              <w:rPr>
                <w:sz w:val="24"/>
                <w:szCs w:val="24"/>
                <w:color w:val="auto"/>
              </w:rPr>
            </w:pPr>
          </w:p>
        </w:tc>
        <w:tc>
          <w:tcPr>
            <w:tcW w:w="140" w:type="dxa"/>
            <w:vAlign w:val="bottom"/>
            <w:tcBorders>
              <w:top w:val="single" w:sz="8" w:color="002F4D"/>
              <w:right w:val="single" w:sz="8" w:color="002F4D"/>
            </w:tcBorders>
          </w:tcPr>
          <w:p>
            <w:pPr>
              <w:spacing w:after="0"/>
              <w:rPr>
                <w:sz w:val="24"/>
                <w:szCs w:val="24"/>
                <w:color w:val="auto"/>
              </w:rPr>
            </w:pPr>
          </w:p>
        </w:tc>
      </w:tr>
      <w:tr>
        <w:trPr>
          <w:trHeight w:val="207"/>
        </w:trPr>
        <w:tc>
          <w:tcPr>
            <w:tcW w:w="4620" w:type="dxa"/>
            <w:vAlign w:val="bottom"/>
            <w:tcBorders>
              <w:left w:val="single" w:sz="8" w:color="002F4D"/>
            </w:tcBorders>
          </w:tcPr>
          <w:p>
            <w:pPr>
              <w:ind w:left="140"/>
              <w:spacing w:after="0"/>
              <w:rPr>
                <w:sz w:val="20"/>
                <w:szCs w:val="20"/>
                <w:color w:val="auto"/>
              </w:rPr>
            </w:pPr>
            <w:r>
              <w:rPr>
                <w:rFonts w:ascii="Arial" w:cs="Arial" w:eastAsia="Arial" w:hAnsi="Arial"/>
                <w:sz w:val="15"/>
                <w:szCs w:val="15"/>
                <w:b w:val="1"/>
                <w:bCs w:val="1"/>
                <w:i w:val="1"/>
                <w:iCs w:val="1"/>
                <w:color w:val="265E7C"/>
              </w:rPr>
              <w:t>AND VOTE IN ONE OF FOUR WAYS:</w:t>
            </w:r>
          </w:p>
        </w:tc>
        <w:tc>
          <w:tcPr>
            <w:tcW w:w="1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Borders>
              <w:right w:val="single" w:sz="8" w:color="002F4D"/>
            </w:tcBorders>
          </w:tcPr>
          <w:p>
            <w:pPr>
              <w:spacing w:after="0"/>
              <w:rPr>
                <w:sz w:val="18"/>
                <w:szCs w:val="18"/>
                <w:color w:val="auto"/>
              </w:rPr>
            </w:pPr>
          </w:p>
        </w:tc>
      </w:tr>
      <w:tr>
        <w:trPr>
          <w:trHeight w:val="563"/>
        </w:trPr>
        <w:tc>
          <w:tcPr>
            <w:tcW w:w="4620" w:type="dxa"/>
            <w:vAlign w:val="bottom"/>
            <w:tcBorders>
              <w:left w:val="single" w:sz="8" w:color="002F4D"/>
            </w:tcBorders>
          </w:tcPr>
          <w:p>
            <w:pPr>
              <w:ind w:left="140"/>
              <w:spacing w:after="0"/>
              <w:rPr>
                <w:sz w:val="20"/>
                <w:szCs w:val="20"/>
                <w:color w:val="auto"/>
              </w:rPr>
            </w:pPr>
            <w:r>
              <w:rPr>
                <w:rFonts w:ascii="Arial" w:cs="Arial" w:eastAsia="Arial" w:hAnsi="Arial"/>
                <w:sz w:val="15"/>
                <w:szCs w:val="15"/>
                <w:b w:val="1"/>
                <w:bCs w:val="1"/>
                <w:color w:val="auto"/>
              </w:rPr>
              <w:t>Please refer to the enclosed proxy materials or the</w:t>
            </w:r>
          </w:p>
        </w:tc>
        <w:tc>
          <w:tcPr>
            <w:tcW w:w="1720" w:type="dxa"/>
            <w:vAlign w:val="bottom"/>
          </w:tcPr>
          <w:p>
            <w:pPr>
              <w:jc w:val="center"/>
              <w:ind w:right="4"/>
              <w:spacing w:after="0"/>
              <w:rPr>
                <w:sz w:val="20"/>
                <w:szCs w:val="20"/>
                <w:color w:val="auto"/>
              </w:rPr>
            </w:pPr>
            <w:r>
              <w:rPr>
                <w:rFonts w:ascii="Arial" w:cs="Arial" w:eastAsia="Arial" w:hAnsi="Arial"/>
                <w:sz w:val="15"/>
                <w:szCs w:val="15"/>
                <w:b w:val="1"/>
                <w:bCs w:val="1"/>
                <w:color w:val="00304D"/>
              </w:rPr>
              <w:t>INTERNET</w:t>
            </w:r>
          </w:p>
        </w:tc>
        <w:tc>
          <w:tcPr>
            <w:tcW w:w="1640" w:type="dxa"/>
            <w:vAlign w:val="bottom"/>
          </w:tcPr>
          <w:p>
            <w:pPr>
              <w:jc w:val="center"/>
              <w:spacing w:after="0"/>
              <w:rPr>
                <w:sz w:val="20"/>
                <w:szCs w:val="20"/>
                <w:color w:val="auto"/>
              </w:rPr>
            </w:pPr>
            <w:r>
              <w:rPr>
                <w:rFonts w:ascii="Arial" w:cs="Arial" w:eastAsia="Arial" w:hAnsi="Arial"/>
                <w:sz w:val="15"/>
                <w:szCs w:val="15"/>
                <w:b w:val="1"/>
                <w:bCs w:val="1"/>
                <w:color w:val="00304D"/>
              </w:rPr>
              <w:t>BY TELEPHONE</w:t>
            </w:r>
          </w:p>
        </w:tc>
        <w:tc>
          <w:tcPr>
            <w:tcW w:w="1660" w:type="dxa"/>
            <w:vAlign w:val="bottom"/>
          </w:tcPr>
          <w:p>
            <w:pPr>
              <w:jc w:val="center"/>
              <w:ind w:left="4"/>
              <w:spacing w:after="0"/>
              <w:rPr>
                <w:sz w:val="20"/>
                <w:szCs w:val="20"/>
                <w:color w:val="auto"/>
              </w:rPr>
            </w:pPr>
            <w:r>
              <w:rPr>
                <w:rFonts w:ascii="Arial" w:cs="Arial" w:eastAsia="Arial" w:hAnsi="Arial"/>
                <w:sz w:val="15"/>
                <w:szCs w:val="15"/>
                <w:b w:val="1"/>
                <w:bCs w:val="1"/>
                <w:color w:val="00304D"/>
              </w:rPr>
              <w:t>BY MAIL</w:t>
            </w:r>
          </w:p>
        </w:tc>
        <w:tc>
          <w:tcPr>
            <w:tcW w:w="1480" w:type="dxa"/>
            <w:vAlign w:val="bottom"/>
          </w:tcPr>
          <w:p>
            <w:pPr>
              <w:jc w:val="center"/>
              <w:ind w:left="44"/>
              <w:spacing w:after="0"/>
              <w:rPr>
                <w:sz w:val="20"/>
                <w:szCs w:val="20"/>
                <w:color w:val="auto"/>
              </w:rPr>
            </w:pPr>
            <w:r>
              <w:rPr>
                <w:rFonts w:ascii="Arial" w:cs="Arial" w:eastAsia="Arial" w:hAnsi="Arial"/>
                <w:sz w:val="15"/>
                <w:szCs w:val="15"/>
                <w:b w:val="1"/>
                <w:bCs w:val="1"/>
                <w:color w:val="00304D"/>
              </w:rPr>
              <w:t>IN PERSON</w:t>
            </w:r>
          </w:p>
        </w:tc>
        <w:tc>
          <w:tcPr>
            <w:tcW w:w="140" w:type="dxa"/>
            <w:vAlign w:val="bottom"/>
            <w:tcBorders>
              <w:right w:val="single" w:sz="8" w:color="002F4D"/>
            </w:tcBorders>
          </w:tcPr>
          <w:p>
            <w:pPr>
              <w:spacing w:after="0"/>
              <w:rPr>
                <w:sz w:val="24"/>
                <w:szCs w:val="24"/>
                <w:color w:val="auto"/>
              </w:rPr>
            </w:pPr>
          </w:p>
        </w:tc>
      </w:tr>
      <w:tr>
        <w:trPr>
          <w:trHeight w:val="177"/>
        </w:trPr>
        <w:tc>
          <w:tcPr>
            <w:tcW w:w="4620" w:type="dxa"/>
            <w:vAlign w:val="bottom"/>
            <w:tcBorders>
              <w:left w:val="single" w:sz="8" w:color="002F4D"/>
            </w:tcBorders>
          </w:tcPr>
          <w:p>
            <w:pPr>
              <w:ind w:left="140"/>
              <w:spacing w:after="0"/>
              <w:rPr>
                <w:sz w:val="20"/>
                <w:szCs w:val="20"/>
                <w:color w:val="auto"/>
              </w:rPr>
            </w:pPr>
            <w:r>
              <w:rPr>
                <w:rFonts w:ascii="Arial" w:cs="Arial" w:eastAsia="Arial" w:hAnsi="Arial"/>
                <w:sz w:val="15"/>
                <w:szCs w:val="15"/>
                <w:b w:val="1"/>
                <w:bCs w:val="1"/>
                <w:color w:val="auto"/>
              </w:rPr>
              <w:t>information forwarded by your bank, broker or other holder</w:t>
            </w:r>
          </w:p>
        </w:tc>
        <w:tc>
          <w:tcPr>
            <w:tcW w:w="1720" w:type="dxa"/>
            <w:vAlign w:val="bottom"/>
          </w:tcPr>
          <w:p>
            <w:pPr>
              <w:jc w:val="center"/>
              <w:spacing w:after="0"/>
              <w:rPr>
                <w:sz w:val="20"/>
                <w:szCs w:val="20"/>
                <w:color w:val="auto"/>
              </w:rPr>
            </w:pPr>
            <w:r>
              <w:rPr>
                <w:rFonts w:ascii="Arial" w:cs="Arial" w:eastAsia="Arial" w:hAnsi="Arial"/>
                <w:sz w:val="15"/>
                <w:szCs w:val="15"/>
                <w:color w:val="00304D"/>
              </w:rPr>
              <w:t>Visit the website</w:t>
            </w:r>
          </w:p>
        </w:tc>
        <w:tc>
          <w:tcPr>
            <w:tcW w:w="1640" w:type="dxa"/>
            <w:vAlign w:val="bottom"/>
          </w:tcPr>
          <w:p>
            <w:pPr>
              <w:jc w:val="center"/>
              <w:spacing w:after="0"/>
              <w:rPr>
                <w:sz w:val="20"/>
                <w:szCs w:val="20"/>
                <w:color w:val="auto"/>
              </w:rPr>
            </w:pPr>
            <w:r>
              <w:rPr>
                <w:rFonts w:ascii="Arial" w:cs="Arial" w:eastAsia="Arial" w:hAnsi="Arial"/>
                <w:sz w:val="15"/>
                <w:szCs w:val="15"/>
                <w:color w:val="00304D"/>
              </w:rPr>
              <w:t>Call the telephone</w:t>
            </w:r>
          </w:p>
        </w:tc>
        <w:tc>
          <w:tcPr>
            <w:tcW w:w="1660" w:type="dxa"/>
            <w:vAlign w:val="bottom"/>
          </w:tcPr>
          <w:p>
            <w:pPr>
              <w:jc w:val="center"/>
              <w:ind w:left="4"/>
              <w:spacing w:after="0"/>
              <w:rPr>
                <w:sz w:val="20"/>
                <w:szCs w:val="20"/>
                <w:color w:val="auto"/>
              </w:rPr>
            </w:pPr>
            <w:r>
              <w:rPr>
                <w:rFonts w:ascii="Arial" w:cs="Arial" w:eastAsia="Arial" w:hAnsi="Arial"/>
                <w:sz w:val="15"/>
                <w:szCs w:val="15"/>
                <w:color w:val="00304D"/>
              </w:rPr>
              <w:t>Sign, date and</w:t>
            </w:r>
          </w:p>
        </w:tc>
        <w:tc>
          <w:tcPr>
            <w:tcW w:w="1480" w:type="dxa"/>
            <w:vAlign w:val="bottom"/>
          </w:tcPr>
          <w:p>
            <w:pPr>
              <w:jc w:val="center"/>
              <w:ind w:left="44"/>
              <w:spacing w:after="0"/>
              <w:rPr>
                <w:sz w:val="20"/>
                <w:szCs w:val="20"/>
                <w:color w:val="auto"/>
              </w:rPr>
            </w:pPr>
            <w:r>
              <w:rPr>
                <w:rFonts w:ascii="Arial" w:cs="Arial" w:eastAsia="Arial" w:hAnsi="Arial"/>
                <w:sz w:val="15"/>
                <w:szCs w:val="15"/>
                <w:color w:val="00304D"/>
              </w:rPr>
              <w:t>Attend the annual</w:t>
            </w:r>
          </w:p>
        </w:tc>
        <w:tc>
          <w:tcPr>
            <w:tcW w:w="140" w:type="dxa"/>
            <w:vAlign w:val="bottom"/>
            <w:tcBorders>
              <w:right w:val="single" w:sz="8" w:color="002F4D"/>
            </w:tcBorders>
          </w:tcPr>
          <w:p>
            <w:pPr>
              <w:spacing w:after="0"/>
              <w:rPr>
                <w:sz w:val="15"/>
                <w:szCs w:val="15"/>
                <w:color w:val="auto"/>
              </w:rPr>
            </w:pPr>
          </w:p>
        </w:tc>
      </w:tr>
      <w:tr>
        <w:trPr>
          <w:trHeight w:val="177"/>
        </w:trPr>
        <w:tc>
          <w:tcPr>
            <w:tcW w:w="4620" w:type="dxa"/>
            <w:vAlign w:val="bottom"/>
            <w:tcBorders>
              <w:left w:val="single" w:sz="8" w:color="002F4D"/>
            </w:tcBorders>
          </w:tcPr>
          <w:p>
            <w:pPr>
              <w:ind w:left="140"/>
              <w:spacing w:after="0"/>
              <w:rPr>
                <w:sz w:val="20"/>
                <w:szCs w:val="20"/>
                <w:color w:val="auto"/>
              </w:rPr>
            </w:pPr>
            <w:r>
              <w:rPr>
                <w:rFonts w:ascii="Arial" w:cs="Arial" w:eastAsia="Arial" w:hAnsi="Arial"/>
                <w:sz w:val="15"/>
                <w:szCs w:val="15"/>
                <w:b w:val="1"/>
                <w:bCs w:val="1"/>
                <w:color w:val="auto"/>
              </w:rPr>
              <w:t>of record to see which voting methods are available to you.</w:t>
            </w:r>
          </w:p>
        </w:tc>
        <w:tc>
          <w:tcPr>
            <w:tcW w:w="1720" w:type="dxa"/>
            <w:vAlign w:val="bottom"/>
          </w:tcPr>
          <w:p>
            <w:pPr>
              <w:jc w:val="center"/>
              <w:spacing w:after="0"/>
              <w:rPr>
                <w:sz w:val="20"/>
                <w:szCs w:val="20"/>
                <w:color w:val="auto"/>
              </w:rPr>
            </w:pPr>
            <w:r>
              <w:rPr>
                <w:rFonts w:ascii="Arial" w:cs="Arial" w:eastAsia="Arial" w:hAnsi="Arial"/>
                <w:sz w:val="15"/>
                <w:szCs w:val="15"/>
                <w:color w:val="00304D"/>
              </w:rPr>
              <w:t>on your proxy card.</w:t>
            </w:r>
          </w:p>
        </w:tc>
        <w:tc>
          <w:tcPr>
            <w:tcW w:w="1640" w:type="dxa"/>
            <w:vAlign w:val="bottom"/>
          </w:tcPr>
          <w:p>
            <w:pPr>
              <w:jc w:val="center"/>
              <w:spacing w:after="0"/>
              <w:rPr>
                <w:sz w:val="20"/>
                <w:szCs w:val="20"/>
                <w:color w:val="auto"/>
              </w:rPr>
            </w:pPr>
            <w:r>
              <w:rPr>
                <w:rFonts w:ascii="Arial" w:cs="Arial" w:eastAsia="Arial" w:hAnsi="Arial"/>
                <w:sz w:val="15"/>
                <w:szCs w:val="15"/>
                <w:color w:val="00304D"/>
              </w:rPr>
              <w:t>number on</w:t>
            </w:r>
          </w:p>
        </w:tc>
        <w:tc>
          <w:tcPr>
            <w:tcW w:w="1660" w:type="dxa"/>
            <w:vAlign w:val="bottom"/>
          </w:tcPr>
          <w:p>
            <w:pPr>
              <w:jc w:val="center"/>
              <w:spacing w:after="0"/>
              <w:rPr>
                <w:sz w:val="20"/>
                <w:szCs w:val="20"/>
                <w:color w:val="auto"/>
              </w:rPr>
            </w:pPr>
            <w:r>
              <w:rPr>
                <w:rFonts w:ascii="Arial" w:cs="Arial" w:eastAsia="Arial" w:hAnsi="Arial"/>
                <w:sz w:val="15"/>
                <w:szCs w:val="15"/>
                <w:color w:val="00304D"/>
                <w:w w:val="99"/>
              </w:rPr>
              <w:t>return your</w:t>
            </w:r>
          </w:p>
        </w:tc>
        <w:tc>
          <w:tcPr>
            <w:tcW w:w="1480" w:type="dxa"/>
            <w:vAlign w:val="bottom"/>
          </w:tcPr>
          <w:p>
            <w:pPr>
              <w:jc w:val="center"/>
              <w:ind w:left="44"/>
              <w:spacing w:after="0"/>
              <w:rPr>
                <w:sz w:val="20"/>
                <w:szCs w:val="20"/>
                <w:color w:val="auto"/>
              </w:rPr>
            </w:pPr>
            <w:r>
              <w:rPr>
                <w:rFonts w:ascii="Arial" w:cs="Arial" w:eastAsia="Arial" w:hAnsi="Arial"/>
                <w:sz w:val="15"/>
                <w:szCs w:val="15"/>
                <w:color w:val="00304D"/>
                <w:w w:val="99"/>
              </w:rPr>
              <w:t>meeting virtually.</w:t>
            </w:r>
          </w:p>
        </w:tc>
        <w:tc>
          <w:tcPr>
            <w:tcW w:w="140" w:type="dxa"/>
            <w:vAlign w:val="bottom"/>
            <w:tcBorders>
              <w:right w:val="single" w:sz="8" w:color="002F4D"/>
            </w:tcBorders>
          </w:tcPr>
          <w:p>
            <w:pPr>
              <w:spacing w:after="0"/>
              <w:rPr>
                <w:sz w:val="15"/>
                <w:szCs w:val="15"/>
                <w:color w:val="auto"/>
              </w:rPr>
            </w:pPr>
          </w:p>
        </w:tc>
      </w:tr>
      <w:tr>
        <w:trPr>
          <w:trHeight w:val="177"/>
        </w:trPr>
        <w:tc>
          <w:tcPr>
            <w:tcW w:w="4620" w:type="dxa"/>
            <w:vAlign w:val="bottom"/>
            <w:tcBorders>
              <w:left w:val="single" w:sz="8" w:color="002F4D"/>
            </w:tcBorders>
          </w:tcPr>
          <w:p>
            <w:pPr>
              <w:spacing w:after="0"/>
              <w:rPr>
                <w:sz w:val="15"/>
                <w:szCs w:val="15"/>
                <w:color w:val="auto"/>
              </w:rPr>
            </w:pPr>
          </w:p>
        </w:tc>
        <w:tc>
          <w:tcPr>
            <w:tcW w:w="172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00304D"/>
              </w:rPr>
              <w:t>your proxy card.</w:t>
            </w:r>
          </w:p>
        </w:tc>
        <w:tc>
          <w:tcPr>
            <w:tcW w:w="1660" w:type="dxa"/>
            <w:vAlign w:val="bottom"/>
          </w:tcPr>
          <w:p>
            <w:pPr>
              <w:jc w:val="center"/>
              <w:spacing w:after="0"/>
              <w:rPr>
                <w:sz w:val="20"/>
                <w:szCs w:val="20"/>
                <w:color w:val="auto"/>
              </w:rPr>
            </w:pPr>
            <w:r>
              <w:rPr>
                <w:rFonts w:ascii="Arial" w:cs="Arial" w:eastAsia="Arial" w:hAnsi="Arial"/>
                <w:sz w:val="15"/>
                <w:szCs w:val="15"/>
                <w:color w:val="00304D"/>
              </w:rPr>
              <w:t>proxy card in the</w:t>
            </w:r>
          </w:p>
        </w:tc>
        <w:tc>
          <w:tcPr>
            <w:tcW w:w="1480" w:type="dxa"/>
            <w:vAlign w:val="bottom"/>
          </w:tcPr>
          <w:p>
            <w:pPr>
              <w:jc w:val="center"/>
              <w:ind w:left="44"/>
              <w:spacing w:after="0"/>
              <w:rPr>
                <w:sz w:val="20"/>
                <w:szCs w:val="20"/>
                <w:color w:val="auto"/>
              </w:rPr>
            </w:pPr>
            <w:r>
              <w:rPr>
                <w:rFonts w:ascii="Arial" w:cs="Arial" w:eastAsia="Arial" w:hAnsi="Arial"/>
                <w:sz w:val="15"/>
                <w:szCs w:val="15"/>
                <w:color w:val="00304D"/>
              </w:rPr>
              <w:t>See page 58 for</w:t>
            </w:r>
          </w:p>
        </w:tc>
        <w:tc>
          <w:tcPr>
            <w:tcW w:w="140" w:type="dxa"/>
            <w:vAlign w:val="bottom"/>
            <w:tcBorders>
              <w:right w:val="single" w:sz="8" w:color="002F4D"/>
            </w:tcBorders>
          </w:tcPr>
          <w:p>
            <w:pPr>
              <w:spacing w:after="0"/>
              <w:rPr>
                <w:sz w:val="15"/>
                <w:szCs w:val="15"/>
                <w:color w:val="auto"/>
              </w:rPr>
            </w:pPr>
          </w:p>
        </w:tc>
      </w:tr>
      <w:tr>
        <w:trPr>
          <w:trHeight w:val="177"/>
        </w:trPr>
        <w:tc>
          <w:tcPr>
            <w:tcW w:w="4620" w:type="dxa"/>
            <w:vAlign w:val="bottom"/>
            <w:tcBorders>
              <w:left w:val="single" w:sz="8" w:color="002F4D"/>
            </w:tcBorders>
          </w:tcPr>
          <w:p>
            <w:pPr>
              <w:spacing w:after="0"/>
              <w:rPr>
                <w:sz w:val="15"/>
                <w:szCs w:val="15"/>
                <w:color w:val="auto"/>
              </w:rPr>
            </w:pPr>
          </w:p>
        </w:tc>
        <w:tc>
          <w:tcPr>
            <w:tcW w:w="17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60" w:type="dxa"/>
            <w:vAlign w:val="bottom"/>
          </w:tcPr>
          <w:p>
            <w:pPr>
              <w:jc w:val="center"/>
              <w:ind w:left="4"/>
              <w:spacing w:after="0"/>
              <w:rPr>
                <w:sz w:val="20"/>
                <w:szCs w:val="20"/>
                <w:color w:val="auto"/>
              </w:rPr>
            </w:pPr>
            <w:r>
              <w:rPr>
                <w:rFonts w:ascii="Arial" w:cs="Arial" w:eastAsia="Arial" w:hAnsi="Arial"/>
                <w:sz w:val="15"/>
                <w:szCs w:val="15"/>
                <w:color w:val="00304D"/>
              </w:rPr>
              <w:t>enclosed envelope.</w:t>
            </w:r>
          </w:p>
        </w:tc>
        <w:tc>
          <w:tcPr>
            <w:tcW w:w="1480" w:type="dxa"/>
            <w:vAlign w:val="bottom"/>
          </w:tcPr>
          <w:p>
            <w:pPr>
              <w:jc w:val="center"/>
              <w:ind w:left="44"/>
              <w:spacing w:after="0"/>
              <w:rPr>
                <w:sz w:val="20"/>
                <w:szCs w:val="20"/>
                <w:color w:val="auto"/>
              </w:rPr>
            </w:pPr>
            <w:r>
              <w:rPr>
                <w:rFonts w:ascii="Arial" w:cs="Arial" w:eastAsia="Arial" w:hAnsi="Arial"/>
                <w:sz w:val="15"/>
                <w:szCs w:val="15"/>
                <w:color w:val="00304D"/>
                <w:w w:val="99"/>
              </w:rPr>
              <w:t>instructions on how</w:t>
            </w:r>
          </w:p>
        </w:tc>
        <w:tc>
          <w:tcPr>
            <w:tcW w:w="140" w:type="dxa"/>
            <w:vAlign w:val="bottom"/>
            <w:tcBorders>
              <w:right w:val="single" w:sz="8" w:color="002F4D"/>
            </w:tcBorders>
          </w:tcPr>
          <w:p>
            <w:pPr>
              <w:spacing w:after="0"/>
              <w:rPr>
                <w:sz w:val="15"/>
                <w:szCs w:val="15"/>
                <w:color w:val="auto"/>
              </w:rPr>
            </w:pPr>
          </w:p>
        </w:tc>
      </w:tr>
      <w:tr>
        <w:trPr>
          <w:trHeight w:val="199"/>
        </w:trPr>
        <w:tc>
          <w:tcPr>
            <w:tcW w:w="4620" w:type="dxa"/>
            <w:vAlign w:val="bottom"/>
            <w:tcBorders>
              <w:left w:val="single" w:sz="8" w:color="002F4D"/>
            </w:tcBorders>
          </w:tcPr>
          <w:p>
            <w:pPr>
              <w:spacing w:after="0"/>
              <w:rPr>
                <w:sz w:val="17"/>
                <w:szCs w:val="17"/>
                <w:color w:val="auto"/>
              </w:rPr>
            </w:pPr>
          </w:p>
        </w:tc>
        <w:tc>
          <w:tcPr>
            <w:tcW w:w="1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80" w:type="dxa"/>
            <w:vAlign w:val="bottom"/>
          </w:tcPr>
          <w:p>
            <w:pPr>
              <w:jc w:val="center"/>
              <w:ind w:left="44"/>
              <w:spacing w:after="0"/>
              <w:rPr>
                <w:sz w:val="20"/>
                <w:szCs w:val="20"/>
                <w:color w:val="auto"/>
              </w:rPr>
            </w:pPr>
            <w:r>
              <w:rPr>
                <w:rFonts w:ascii="Arial" w:cs="Arial" w:eastAsia="Arial" w:hAnsi="Arial"/>
                <w:sz w:val="15"/>
                <w:szCs w:val="15"/>
                <w:color w:val="00304D"/>
              </w:rPr>
              <w:t>to attend.</w:t>
            </w:r>
          </w:p>
        </w:tc>
        <w:tc>
          <w:tcPr>
            <w:tcW w:w="140" w:type="dxa"/>
            <w:vAlign w:val="bottom"/>
            <w:tcBorders>
              <w:right w:val="single" w:sz="8" w:color="002F4D"/>
            </w:tcBorders>
          </w:tcPr>
          <w:p>
            <w:pPr>
              <w:spacing w:after="0"/>
              <w:rPr>
                <w:sz w:val="17"/>
                <w:szCs w:val="17"/>
                <w:color w:val="auto"/>
              </w:rPr>
            </w:pPr>
          </w:p>
        </w:tc>
      </w:tr>
      <w:tr>
        <w:trPr>
          <w:trHeight w:val="116"/>
        </w:trPr>
        <w:tc>
          <w:tcPr>
            <w:tcW w:w="4620" w:type="dxa"/>
            <w:vAlign w:val="bottom"/>
            <w:tcBorders>
              <w:left w:val="single" w:sz="8" w:color="002F4D"/>
              <w:bottom w:val="single" w:sz="8" w:color="002F4D"/>
            </w:tcBorders>
          </w:tcPr>
          <w:p>
            <w:pPr>
              <w:spacing w:after="0"/>
              <w:rPr>
                <w:sz w:val="10"/>
                <w:szCs w:val="10"/>
                <w:color w:val="auto"/>
              </w:rPr>
            </w:pPr>
          </w:p>
        </w:tc>
        <w:tc>
          <w:tcPr>
            <w:tcW w:w="1720" w:type="dxa"/>
            <w:vAlign w:val="bottom"/>
            <w:tcBorders>
              <w:bottom w:val="single" w:sz="8" w:color="002F4D"/>
            </w:tcBorders>
          </w:tcPr>
          <w:p>
            <w:pPr>
              <w:spacing w:after="0"/>
              <w:rPr>
                <w:sz w:val="10"/>
                <w:szCs w:val="10"/>
                <w:color w:val="auto"/>
              </w:rPr>
            </w:pPr>
          </w:p>
        </w:tc>
        <w:tc>
          <w:tcPr>
            <w:tcW w:w="1640" w:type="dxa"/>
            <w:vAlign w:val="bottom"/>
            <w:tcBorders>
              <w:bottom w:val="single" w:sz="8" w:color="002F4D"/>
            </w:tcBorders>
          </w:tcPr>
          <w:p>
            <w:pPr>
              <w:spacing w:after="0"/>
              <w:rPr>
                <w:sz w:val="10"/>
                <w:szCs w:val="10"/>
                <w:color w:val="auto"/>
              </w:rPr>
            </w:pPr>
          </w:p>
        </w:tc>
        <w:tc>
          <w:tcPr>
            <w:tcW w:w="3140" w:type="dxa"/>
            <w:vAlign w:val="bottom"/>
            <w:tcBorders>
              <w:bottom w:val="single" w:sz="8" w:color="002F4D"/>
            </w:tcBorders>
            <w:gridSpan w:val="2"/>
          </w:tcPr>
          <w:p>
            <w:pPr>
              <w:spacing w:after="0"/>
              <w:rPr>
                <w:sz w:val="10"/>
                <w:szCs w:val="10"/>
                <w:color w:val="auto"/>
              </w:rPr>
            </w:pPr>
          </w:p>
        </w:tc>
        <w:tc>
          <w:tcPr>
            <w:tcW w:w="140" w:type="dxa"/>
            <w:vAlign w:val="bottom"/>
            <w:tcBorders>
              <w:bottom w:val="single" w:sz="8" w:color="002F4D"/>
              <w:right w:val="single" w:sz="8" w:color="002F4D"/>
            </w:tcBorders>
          </w:tcPr>
          <w:p>
            <w:pPr>
              <w:spacing w:after="0"/>
              <w:rPr>
                <w:sz w:val="10"/>
                <w:szCs w:val="10"/>
                <w:color w:val="auto"/>
              </w:rPr>
            </w:pPr>
          </w:p>
        </w:tc>
      </w:tr>
      <w:tr>
        <w:trPr>
          <w:trHeight w:val="394"/>
        </w:trPr>
        <w:tc>
          <w:tcPr>
            <w:tcW w:w="46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140" w:type="dxa"/>
            <w:vAlign w:val="bottom"/>
            <w:gridSpan w:val="2"/>
          </w:tcPr>
          <w:p>
            <w:pPr>
              <w:ind w:left="980"/>
              <w:spacing w:after="0"/>
              <w:rPr>
                <w:sz w:val="20"/>
                <w:szCs w:val="20"/>
                <w:color w:val="auto"/>
              </w:rPr>
            </w:pPr>
            <w:r>
              <w:rPr>
                <w:rFonts w:ascii="Arial" w:cs="Arial" w:eastAsia="Arial" w:hAnsi="Arial"/>
                <w:sz w:val="15"/>
                <w:szCs w:val="15"/>
                <w:color w:val="00304D"/>
              </w:rPr>
              <w:t>2026 PROXY STATEMENT</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00304D"/>
              </w:rPr>
              <w:t>3</w:t>
            </w:r>
          </w:p>
        </w:tc>
      </w:tr>
      <w:tr>
        <w:trPr>
          <w:trHeight w:val="235"/>
        </w:trPr>
        <w:tc>
          <w:tcPr>
            <w:tcW w:w="4620" w:type="dxa"/>
            <w:vAlign w:val="bottom"/>
            <w:tcBorders>
              <w:bottom w:val="single" w:sz="8" w:color="C0C0C0"/>
            </w:tcBorders>
          </w:tcPr>
          <w:p>
            <w:pPr>
              <w:spacing w:after="0"/>
              <w:rPr>
                <w:sz w:val="20"/>
                <w:szCs w:val="20"/>
                <w:color w:val="auto"/>
              </w:rPr>
            </w:pPr>
          </w:p>
        </w:tc>
        <w:tc>
          <w:tcPr>
            <w:tcW w:w="1720" w:type="dxa"/>
            <w:vAlign w:val="bottom"/>
            <w:tcBorders>
              <w:bottom w:val="single" w:sz="8" w:color="C0C0C0"/>
            </w:tcBorders>
          </w:tcPr>
          <w:p>
            <w:pPr>
              <w:spacing w:after="0"/>
              <w:rPr>
                <w:sz w:val="20"/>
                <w:szCs w:val="20"/>
                <w:color w:val="auto"/>
              </w:rPr>
            </w:pPr>
          </w:p>
        </w:tc>
        <w:tc>
          <w:tcPr>
            <w:tcW w:w="1640" w:type="dxa"/>
            <w:vAlign w:val="bottom"/>
            <w:tcBorders>
              <w:bottom w:val="single" w:sz="8" w:color="C0C0C0"/>
            </w:tcBorders>
          </w:tcPr>
          <w:p>
            <w:pPr>
              <w:spacing w:after="0"/>
              <w:rPr>
                <w:sz w:val="20"/>
                <w:szCs w:val="20"/>
                <w:color w:val="auto"/>
              </w:rPr>
            </w:pPr>
          </w:p>
        </w:tc>
        <w:tc>
          <w:tcPr>
            <w:tcW w:w="1660" w:type="dxa"/>
            <w:vAlign w:val="bottom"/>
            <w:tcBorders>
              <w:bottom w:val="single" w:sz="8" w:color="C0C0C0"/>
            </w:tcBorders>
          </w:tcPr>
          <w:p>
            <w:pPr>
              <w:spacing w:after="0"/>
              <w:rPr>
                <w:sz w:val="20"/>
                <w:szCs w:val="20"/>
                <w:color w:val="auto"/>
              </w:rPr>
            </w:pPr>
          </w:p>
        </w:tc>
        <w:tc>
          <w:tcPr>
            <w:tcW w:w="148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-1658620</wp:posOffset>
            </wp:positionV>
            <wp:extent cx="464820" cy="4489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4820" cy="448945"/>
                    </a:xfrm>
                    <a:prstGeom prst="rect">
                      <a:avLst/>
                    </a:prstGeom>
                    <a:noFill/>
                  </pic:spPr>
                </pic:pic>
              </a:graphicData>
            </a:graphic>
          </wp:anchor>
        </w:drawing>
        <w:drawing>
          <wp:anchor simplePos="0" relativeHeight="251657728" behindDoc="1" locked="0" layoutInCell="0" allowOverlap="1">
            <wp:simplePos x="0" y="0"/>
            <wp:positionH relativeFrom="column">
              <wp:posOffset>4312920</wp:posOffset>
            </wp:positionH>
            <wp:positionV relativeFrom="paragraph">
              <wp:posOffset>-1666240</wp:posOffset>
            </wp:positionV>
            <wp:extent cx="464820" cy="4565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64820" cy="456565"/>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-1658620</wp:posOffset>
            </wp:positionV>
            <wp:extent cx="464820" cy="4489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4820" cy="448945"/>
                    </a:xfrm>
                    <a:prstGeom prst="rect">
                      <a:avLst/>
                    </a:prstGeom>
                    <a:noFill/>
                  </pic:spPr>
                </pic:pic>
              </a:graphicData>
            </a:graphic>
          </wp:anchor>
        </w:drawing>
        <w:drawing>
          <wp:anchor simplePos="0" relativeHeight="251657728" behindDoc="1" locked="0" layoutInCell="0" allowOverlap="1">
            <wp:simplePos x="0" y="0"/>
            <wp:positionH relativeFrom="column">
              <wp:posOffset>6396355</wp:posOffset>
            </wp:positionH>
            <wp:positionV relativeFrom="paragraph">
              <wp:posOffset>-1658620</wp:posOffset>
            </wp:positionV>
            <wp:extent cx="464820" cy="4565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4820" cy="456565"/>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-295910</wp:posOffset>
            </wp:positionV>
            <wp:extent cx="641350" cy="1041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1350" cy="1041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34"/>
          <w:szCs w:val="34"/>
          <w:color w:val="00304D"/>
        </w:rPr>
        <w:t>TABLE OF</w:t>
      </w:r>
    </w:p>
    <w:p>
      <w:pPr>
        <w:spacing w:after="0" w:line="37" w:lineRule="exact"/>
        <w:rPr>
          <w:sz w:val="20"/>
          <w:szCs w:val="20"/>
          <w:color w:val="auto"/>
        </w:rPr>
      </w:pPr>
    </w:p>
    <w:p>
      <w:pPr>
        <w:spacing w:after="0"/>
        <w:rPr>
          <w:sz w:val="20"/>
          <w:szCs w:val="20"/>
          <w:color w:val="auto"/>
        </w:rPr>
      </w:pPr>
      <w:r>
        <w:rPr>
          <w:rFonts w:ascii="Arial" w:cs="Arial" w:eastAsia="Arial" w:hAnsi="Arial"/>
          <w:sz w:val="46"/>
          <w:szCs w:val="46"/>
          <w:b w:val="1"/>
          <w:bCs w:val="1"/>
          <w:color w:val="265E7C"/>
        </w:rPr>
        <w:t>CONTENTS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spacing w:after="0"/>
              <w:rPr>
                <w:sz w:val="20"/>
                <w:szCs w:val="20"/>
                <w:color w:val="auto"/>
              </w:rPr>
            </w:pPr>
            <w:r>
              <w:rPr>
                <w:rFonts w:ascii="Arial" w:cs="Arial" w:eastAsia="Arial" w:hAnsi="Arial"/>
                <w:sz w:val="15"/>
                <w:szCs w:val="15"/>
                <w:b w:val="1"/>
                <w:bCs w:val="1"/>
                <w:color w:val="00304D"/>
              </w:rPr>
              <w:t>Proxy Summary</w:t>
            </w:r>
          </w:p>
        </w:tc>
        <w:tc>
          <w:tcPr>
            <w:tcW w:w="680" w:type="dxa"/>
            <w:vAlign w:val="bottom"/>
          </w:tcPr>
          <w:p>
            <w:pPr>
              <w:jc w:val="right"/>
              <w:ind w:right="224"/>
              <w:spacing w:after="0"/>
              <w:rPr>
                <w:sz w:val="20"/>
                <w:szCs w:val="20"/>
                <w:color w:val="auto"/>
              </w:rPr>
            </w:pPr>
            <w:r>
              <w:rPr>
                <w:rFonts w:ascii="Arial" w:cs="Arial" w:eastAsia="Arial" w:hAnsi="Arial"/>
                <w:sz w:val="15"/>
                <w:szCs w:val="15"/>
                <w:b w:val="1"/>
                <w:bCs w:val="1"/>
                <w:color w:val="00304D"/>
              </w:rPr>
              <w:t>5</w:t>
            </w:r>
          </w:p>
        </w:tc>
        <w:tc>
          <w:tcPr>
            <w:tcW w:w="260" w:type="dxa"/>
            <w:vAlign w:val="bottom"/>
          </w:tcPr>
          <w:p>
            <w:pPr>
              <w:spacing w:after="0"/>
              <w:rPr>
                <w:sz w:val="18"/>
                <w:szCs w:val="18"/>
                <w:color w:val="auto"/>
              </w:rPr>
            </w:pPr>
          </w:p>
        </w:tc>
      </w:tr>
      <w:tr>
        <w:trPr>
          <w:trHeight w:val="298"/>
        </w:trPr>
        <w:tc>
          <w:tcPr>
            <w:tcW w:w="6200" w:type="dxa"/>
            <w:vAlign w:val="bottom"/>
          </w:tcPr>
          <w:p>
            <w:pPr>
              <w:spacing w:after="0"/>
              <w:rPr>
                <w:sz w:val="20"/>
                <w:szCs w:val="20"/>
                <w:color w:val="auto"/>
              </w:rPr>
            </w:pPr>
            <w:r>
              <w:rPr>
                <w:rFonts w:ascii="Arial" w:cs="Arial" w:eastAsia="Arial" w:hAnsi="Arial"/>
                <w:sz w:val="15"/>
                <w:szCs w:val="15"/>
                <w:b w:val="1"/>
                <w:bCs w:val="1"/>
                <w:color w:val="265E7C"/>
              </w:rPr>
              <w:t xml:space="preserve">Proposal 1: </w:t>
            </w:r>
            <w:r>
              <w:rPr>
                <w:rFonts w:ascii="Arial" w:cs="Arial" w:eastAsia="Arial" w:hAnsi="Arial"/>
                <w:sz w:val="15"/>
                <w:szCs w:val="15"/>
                <w:b w:val="1"/>
                <w:bCs w:val="1"/>
                <w:color w:val="002F4D"/>
              </w:rPr>
              <w:t>Election of Directors</w:t>
            </w:r>
          </w:p>
        </w:tc>
        <w:tc>
          <w:tcPr>
            <w:tcW w:w="680" w:type="dxa"/>
            <w:vAlign w:val="bottom"/>
          </w:tcPr>
          <w:p>
            <w:pPr>
              <w:jc w:val="right"/>
              <w:ind w:right="224"/>
              <w:spacing w:after="0"/>
              <w:rPr>
                <w:sz w:val="20"/>
                <w:szCs w:val="20"/>
                <w:color w:val="auto"/>
              </w:rPr>
            </w:pPr>
            <w:r>
              <w:rPr>
                <w:rFonts w:ascii="Arial" w:cs="Arial" w:eastAsia="Arial" w:hAnsi="Arial"/>
                <w:sz w:val="15"/>
                <w:szCs w:val="15"/>
                <w:b w:val="1"/>
                <w:bCs w:val="1"/>
                <w:color w:val="00304D"/>
              </w:rPr>
              <w:t>16</w:t>
            </w:r>
          </w:p>
        </w:tc>
        <w:tc>
          <w:tcPr>
            <w:tcW w:w="260" w:type="dxa"/>
            <w:vAlign w:val="bottom"/>
          </w:tcPr>
          <w:p>
            <w:pPr>
              <w:spacing w:after="0"/>
              <w:rPr>
                <w:sz w:val="24"/>
                <w:szCs w:val="24"/>
                <w:color w:val="auto"/>
              </w:rPr>
            </w:pPr>
          </w:p>
        </w:tc>
      </w:tr>
      <w:tr>
        <w:trPr>
          <w:trHeight w:val="177"/>
        </w:trPr>
        <w:tc>
          <w:tcPr>
            <w:tcW w:w="6200" w:type="dxa"/>
            <w:vAlign w:val="bottom"/>
          </w:tcPr>
          <w:p>
            <w:pPr>
              <w:spacing w:after="0"/>
              <w:rPr>
                <w:sz w:val="20"/>
                <w:szCs w:val="20"/>
                <w:color w:val="auto"/>
              </w:rPr>
            </w:pPr>
            <w:r>
              <w:rPr>
                <w:rFonts w:ascii="Arial" w:cs="Arial" w:eastAsia="Arial" w:hAnsi="Arial"/>
                <w:sz w:val="15"/>
                <w:szCs w:val="15"/>
                <w:color w:val="00304D"/>
              </w:rPr>
              <w:t>How We Select Directors</w:t>
            </w:r>
          </w:p>
        </w:tc>
        <w:tc>
          <w:tcPr>
            <w:tcW w:w="680" w:type="dxa"/>
            <w:vAlign w:val="bottom"/>
          </w:tcPr>
          <w:p>
            <w:pPr>
              <w:jc w:val="right"/>
              <w:ind w:right="224"/>
              <w:spacing w:after="0"/>
              <w:rPr>
                <w:sz w:val="20"/>
                <w:szCs w:val="20"/>
                <w:color w:val="auto"/>
              </w:rPr>
            </w:pPr>
            <w:r>
              <w:rPr>
                <w:rFonts w:ascii="Arial" w:cs="Arial" w:eastAsia="Arial" w:hAnsi="Arial"/>
                <w:sz w:val="15"/>
                <w:szCs w:val="15"/>
                <w:color w:val="00304D"/>
              </w:rPr>
              <w:t>16</w:t>
            </w:r>
          </w:p>
        </w:tc>
        <w:tc>
          <w:tcPr>
            <w:tcW w:w="260" w:type="dxa"/>
            <w:vAlign w:val="bottom"/>
          </w:tcPr>
          <w:p>
            <w:pPr>
              <w:spacing w:after="0"/>
              <w:rPr>
                <w:sz w:val="15"/>
                <w:szCs w:val="15"/>
                <w:color w:val="auto"/>
              </w:rPr>
            </w:pPr>
          </w:p>
        </w:tc>
      </w:tr>
      <w:tr>
        <w:trPr>
          <w:trHeight w:val="199"/>
        </w:trPr>
        <w:tc>
          <w:tcPr>
            <w:tcW w:w="6200" w:type="dxa"/>
            <w:vAlign w:val="bottom"/>
          </w:tcPr>
          <w:p>
            <w:pPr>
              <w:spacing w:after="0"/>
              <w:rPr>
                <w:sz w:val="20"/>
                <w:szCs w:val="20"/>
                <w:color w:val="auto"/>
              </w:rPr>
            </w:pPr>
            <w:r>
              <w:rPr>
                <w:rFonts w:ascii="Arial" w:cs="Arial" w:eastAsia="Arial" w:hAnsi="Arial"/>
                <w:sz w:val="15"/>
                <w:szCs w:val="15"/>
                <w:color w:val="00304D"/>
              </w:rPr>
              <w:t>Director Nominees</w:t>
            </w:r>
          </w:p>
        </w:tc>
        <w:tc>
          <w:tcPr>
            <w:tcW w:w="680" w:type="dxa"/>
            <w:vAlign w:val="bottom"/>
          </w:tcPr>
          <w:p>
            <w:pPr>
              <w:jc w:val="right"/>
              <w:ind w:right="224"/>
              <w:spacing w:after="0"/>
              <w:rPr>
                <w:sz w:val="20"/>
                <w:szCs w:val="20"/>
                <w:color w:val="auto"/>
              </w:rPr>
            </w:pPr>
            <w:r>
              <w:rPr>
                <w:rFonts w:ascii="Arial" w:cs="Arial" w:eastAsia="Arial" w:hAnsi="Arial"/>
                <w:sz w:val="15"/>
                <w:szCs w:val="15"/>
                <w:color w:val="00304D"/>
              </w:rPr>
              <w:t>17</w:t>
            </w:r>
          </w:p>
        </w:tc>
        <w:tc>
          <w:tcPr>
            <w:tcW w:w="260" w:type="dxa"/>
            <w:vAlign w:val="bottom"/>
          </w:tcPr>
          <w:p>
            <w:pPr>
              <w:spacing w:after="0"/>
              <w:rPr>
                <w:sz w:val="17"/>
                <w:szCs w:val="17"/>
                <w:color w:val="auto"/>
              </w:rPr>
            </w:pPr>
          </w:p>
        </w:tc>
      </w:tr>
      <w:tr>
        <w:trPr>
          <w:trHeight w:val="306"/>
        </w:trPr>
        <w:tc>
          <w:tcPr>
            <w:tcW w:w="6200" w:type="dxa"/>
            <w:vAlign w:val="bottom"/>
          </w:tcPr>
          <w:p>
            <w:pPr>
              <w:spacing w:after="0"/>
              <w:rPr>
                <w:sz w:val="20"/>
                <w:szCs w:val="20"/>
                <w:color w:val="auto"/>
              </w:rPr>
            </w:pPr>
            <w:r>
              <w:rPr>
                <w:rFonts w:ascii="Arial" w:cs="Arial" w:eastAsia="Arial" w:hAnsi="Arial"/>
                <w:sz w:val="15"/>
                <w:szCs w:val="15"/>
                <w:b w:val="1"/>
                <w:bCs w:val="1"/>
                <w:color w:val="00304D"/>
              </w:rPr>
              <w:t>Governance</w:t>
            </w:r>
          </w:p>
        </w:tc>
        <w:tc>
          <w:tcPr>
            <w:tcW w:w="680" w:type="dxa"/>
            <w:vAlign w:val="bottom"/>
          </w:tcPr>
          <w:p>
            <w:pPr>
              <w:jc w:val="right"/>
              <w:ind w:right="224"/>
              <w:spacing w:after="0"/>
              <w:rPr>
                <w:sz w:val="20"/>
                <w:szCs w:val="20"/>
                <w:color w:val="auto"/>
              </w:rPr>
            </w:pPr>
            <w:r>
              <w:rPr>
                <w:rFonts w:ascii="Arial" w:cs="Arial" w:eastAsia="Arial" w:hAnsi="Arial"/>
                <w:sz w:val="15"/>
                <w:szCs w:val="15"/>
                <w:b w:val="1"/>
                <w:bCs w:val="1"/>
                <w:color w:val="00304D"/>
              </w:rPr>
              <w:t>23</w:t>
            </w:r>
          </w:p>
        </w:tc>
        <w:tc>
          <w:tcPr>
            <w:tcW w:w="260" w:type="dxa"/>
            <w:vAlign w:val="bottom"/>
          </w:tcPr>
          <w:p>
            <w:pPr>
              <w:spacing w:after="0"/>
              <w:rPr>
                <w:sz w:val="24"/>
                <w:szCs w:val="24"/>
                <w:color w:val="auto"/>
              </w:rPr>
            </w:pPr>
          </w:p>
        </w:tc>
      </w:tr>
      <w:tr>
        <w:trPr>
          <w:trHeight w:val="177"/>
        </w:trPr>
        <w:tc>
          <w:tcPr>
            <w:tcW w:w="6200" w:type="dxa"/>
            <w:vAlign w:val="bottom"/>
          </w:tcPr>
          <w:p>
            <w:pPr>
              <w:spacing w:after="0"/>
              <w:rPr>
                <w:sz w:val="20"/>
                <w:szCs w:val="20"/>
                <w:color w:val="auto"/>
              </w:rPr>
            </w:pPr>
            <w:r>
              <w:rPr>
                <w:rFonts w:ascii="Arial" w:cs="Arial" w:eastAsia="Arial" w:hAnsi="Arial"/>
                <w:sz w:val="15"/>
                <w:szCs w:val="15"/>
                <w:color w:val="00304D"/>
              </w:rPr>
              <w:t>Board Leadership Structure</w:t>
            </w:r>
          </w:p>
        </w:tc>
        <w:tc>
          <w:tcPr>
            <w:tcW w:w="680" w:type="dxa"/>
            <w:vAlign w:val="bottom"/>
          </w:tcPr>
          <w:p>
            <w:pPr>
              <w:jc w:val="right"/>
              <w:ind w:right="224"/>
              <w:spacing w:after="0"/>
              <w:rPr>
                <w:sz w:val="20"/>
                <w:szCs w:val="20"/>
                <w:color w:val="auto"/>
              </w:rPr>
            </w:pPr>
            <w:r>
              <w:rPr>
                <w:rFonts w:ascii="Arial" w:cs="Arial" w:eastAsia="Arial" w:hAnsi="Arial"/>
                <w:sz w:val="15"/>
                <w:szCs w:val="15"/>
                <w:color w:val="00304D"/>
              </w:rPr>
              <w:t>23</w:t>
            </w:r>
          </w:p>
        </w:tc>
        <w:tc>
          <w:tcPr>
            <w:tcW w:w="260" w:type="dxa"/>
            <w:vAlign w:val="bottom"/>
          </w:tcPr>
          <w:p>
            <w:pPr>
              <w:spacing w:after="0"/>
              <w:rPr>
                <w:sz w:val="15"/>
                <w:szCs w:val="15"/>
                <w:color w:val="auto"/>
              </w:rPr>
            </w:pPr>
          </w:p>
        </w:tc>
      </w:tr>
      <w:tr>
        <w:trPr>
          <w:trHeight w:val="177"/>
        </w:trPr>
        <w:tc>
          <w:tcPr>
            <w:tcW w:w="6200" w:type="dxa"/>
            <w:vAlign w:val="bottom"/>
          </w:tcPr>
          <w:p>
            <w:pPr>
              <w:spacing w:after="0"/>
              <w:rPr>
                <w:sz w:val="20"/>
                <w:szCs w:val="20"/>
                <w:color w:val="auto"/>
              </w:rPr>
            </w:pPr>
            <w:r>
              <w:rPr>
                <w:rFonts w:ascii="Arial" w:cs="Arial" w:eastAsia="Arial" w:hAnsi="Arial"/>
                <w:sz w:val="15"/>
                <w:szCs w:val="15"/>
                <w:color w:val="00304D"/>
              </w:rPr>
              <w:t>Independence</w:t>
            </w:r>
          </w:p>
        </w:tc>
        <w:tc>
          <w:tcPr>
            <w:tcW w:w="680" w:type="dxa"/>
            <w:vAlign w:val="bottom"/>
          </w:tcPr>
          <w:p>
            <w:pPr>
              <w:jc w:val="right"/>
              <w:ind w:right="224"/>
              <w:spacing w:after="0"/>
              <w:rPr>
                <w:sz w:val="20"/>
                <w:szCs w:val="20"/>
                <w:color w:val="auto"/>
              </w:rPr>
            </w:pPr>
            <w:r>
              <w:rPr>
                <w:rFonts w:ascii="Arial" w:cs="Arial" w:eastAsia="Arial" w:hAnsi="Arial"/>
                <w:sz w:val="15"/>
                <w:szCs w:val="15"/>
                <w:color w:val="00304D"/>
              </w:rPr>
              <w:t>23</w:t>
            </w:r>
          </w:p>
        </w:tc>
        <w:tc>
          <w:tcPr>
            <w:tcW w:w="260" w:type="dxa"/>
            <w:vAlign w:val="bottom"/>
          </w:tcPr>
          <w:p>
            <w:pPr>
              <w:spacing w:after="0"/>
              <w:rPr>
                <w:sz w:val="15"/>
                <w:szCs w:val="15"/>
                <w:color w:val="auto"/>
              </w:rPr>
            </w:pPr>
          </w:p>
        </w:tc>
      </w:tr>
      <w:tr>
        <w:trPr>
          <w:trHeight w:val="177"/>
        </w:trPr>
        <w:tc>
          <w:tcPr>
            <w:tcW w:w="6200" w:type="dxa"/>
            <w:vAlign w:val="bottom"/>
          </w:tcPr>
          <w:p>
            <w:pPr>
              <w:spacing w:after="0"/>
              <w:rPr>
                <w:sz w:val="20"/>
                <w:szCs w:val="20"/>
                <w:color w:val="auto"/>
              </w:rPr>
            </w:pPr>
            <w:r>
              <w:rPr>
                <w:rFonts w:ascii="Arial" w:cs="Arial" w:eastAsia="Arial" w:hAnsi="Arial"/>
                <w:sz w:val="15"/>
                <w:szCs w:val="15"/>
                <w:color w:val="00304D"/>
              </w:rPr>
              <w:t>Risk Oversight</w:t>
            </w:r>
          </w:p>
        </w:tc>
        <w:tc>
          <w:tcPr>
            <w:tcW w:w="680" w:type="dxa"/>
            <w:vAlign w:val="bottom"/>
          </w:tcPr>
          <w:p>
            <w:pPr>
              <w:jc w:val="right"/>
              <w:ind w:right="224"/>
              <w:spacing w:after="0"/>
              <w:rPr>
                <w:sz w:val="20"/>
                <w:szCs w:val="20"/>
                <w:color w:val="auto"/>
              </w:rPr>
            </w:pPr>
            <w:r>
              <w:rPr>
                <w:rFonts w:ascii="Arial" w:cs="Arial" w:eastAsia="Arial" w:hAnsi="Arial"/>
                <w:sz w:val="15"/>
                <w:szCs w:val="15"/>
                <w:color w:val="00304D"/>
              </w:rPr>
              <w:t>23</w:t>
            </w:r>
          </w:p>
        </w:tc>
        <w:tc>
          <w:tcPr>
            <w:tcW w:w="260" w:type="dxa"/>
            <w:vAlign w:val="bottom"/>
          </w:tcPr>
          <w:p>
            <w:pPr>
              <w:spacing w:after="0"/>
              <w:rPr>
                <w:sz w:val="15"/>
                <w:szCs w:val="15"/>
                <w:color w:val="auto"/>
              </w:rPr>
            </w:pPr>
          </w:p>
        </w:tc>
      </w:tr>
      <w:tr>
        <w:trPr>
          <w:trHeight w:val="177"/>
        </w:trPr>
        <w:tc>
          <w:tcPr>
            <w:tcW w:w="6200" w:type="dxa"/>
            <w:vAlign w:val="bottom"/>
          </w:tcPr>
          <w:p>
            <w:pPr>
              <w:spacing w:after="0"/>
              <w:rPr>
                <w:sz w:val="20"/>
                <w:szCs w:val="20"/>
                <w:color w:val="auto"/>
              </w:rPr>
            </w:pPr>
            <w:r>
              <w:rPr>
                <w:rFonts w:ascii="Arial" w:cs="Arial" w:eastAsia="Arial" w:hAnsi="Arial"/>
                <w:sz w:val="15"/>
                <w:szCs w:val="15"/>
                <w:color w:val="00304D"/>
              </w:rPr>
              <w:t>Annual Board Evaluation and Skillset Assessment</w:t>
            </w:r>
          </w:p>
        </w:tc>
        <w:tc>
          <w:tcPr>
            <w:tcW w:w="680" w:type="dxa"/>
            <w:vAlign w:val="bottom"/>
          </w:tcPr>
          <w:p>
            <w:pPr>
              <w:jc w:val="right"/>
              <w:ind w:right="224"/>
              <w:spacing w:after="0"/>
              <w:rPr>
                <w:sz w:val="20"/>
                <w:szCs w:val="20"/>
                <w:color w:val="auto"/>
              </w:rPr>
            </w:pPr>
            <w:r>
              <w:rPr>
                <w:rFonts w:ascii="Arial" w:cs="Arial" w:eastAsia="Arial" w:hAnsi="Arial"/>
                <w:sz w:val="15"/>
                <w:szCs w:val="15"/>
                <w:color w:val="00304D"/>
              </w:rPr>
              <w:t>24</w:t>
            </w:r>
          </w:p>
        </w:tc>
        <w:tc>
          <w:tcPr>
            <w:tcW w:w="260" w:type="dxa"/>
            <w:vAlign w:val="bottom"/>
          </w:tcPr>
          <w:p>
            <w:pPr>
              <w:spacing w:after="0"/>
              <w:rPr>
                <w:sz w:val="15"/>
                <w:szCs w:val="15"/>
                <w:color w:val="auto"/>
              </w:rPr>
            </w:pPr>
          </w:p>
        </w:tc>
      </w:tr>
      <w:tr>
        <w:trPr>
          <w:trHeight w:val="177"/>
        </w:trPr>
        <w:tc>
          <w:tcPr>
            <w:tcW w:w="6200" w:type="dxa"/>
            <w:vAlign w:val="bottom"/>
          </w:tcPr>
          <w:p>
            <w:pPr>
              <w:spacing w:after="0"/>
              <w:rPr>
                <w:sz w:val="20"/>
                <w:szCs w:val="20"/>
                <w:color w:val="auto"/>
              </w:rPr>
            </w:pPr>
            <w:r>
              <w:rPr>
                <w:rFonts w:ascii="Arial" w:cs="Arial" w:eastAsia="Arial" w:hAnsi="Arial"/>
                <w:sz w:val="15"/>
                <w:szCs w:val="15"/>
                <w:color w:val="00304D"/>
              </w:rPr>
              <w:t>Stockholder Engagement</w:t>
            </w:r>
          </w:p>
        </w:tc>
        <w:tc>
          <w:tcPr>
            <w:tcW w:w="680" w:type="dxa"/>
            <w:vAlign w:val="bottom"/>
          </w:tcPr>
          <w:p>
            <w:pPr>
              <w:jc w:val="right"/>
              <w:ind w:right="224"/>
              <w:spacing w:after="0"/>
              <w:rPr>
                <w:sz w:val="20"/>
                <w:szCs w:val="20"/>
                <w:color w:val="auto"/>
              </w:rPr>
            </w:pPr>
            <w:r>
              <w:rPr>
                <w:rFonts w:ascii="Arial" w:cs="Arial" w:eastAsia="Arial" w:hAnsi="Arial"/>
                <w:sz w:val="15"/>
                <w:szCs w:val="15"/>
                <w:color w:val="00304D"/>
              </w:rPr>
              <w:t>24</w:t>
            </w:r>
          </w:p>
        </w:tc>
        <w:tc>
          <w:tcPr>
            <w:tcW w:w="260" w:type="dxa"/>
            <w:vAlign w:val="bottom"/>
          </w:tcPr>
          <w:p>
            <w:pPr>
              <w:spacing w:after="0"/>
              <w:rPr>
                <w:sz w:val="15"/>
                <w:szCs w:val="15"/>
                <w:color w:val="auto"/>
              </w:rPr>
            </w:pPr>
          </w:p>
        </w:tc>
      </w:tr>
      <w:tr>
        <w:trPr>
          <w:trHeight w:val="177"/>
        </w:trPr>
        <w:tc>
          <w:tcPr>
            <w:tcW w:w="6200" w:type="dxa"/>
            <w:vAlign w:val="bottom"/>
          </w:tcPr>
          <w:p>
            <w:pPr>
              <w:spacing w:after="0"/>
              <w:rPr>
                <w:sz w:val="20"/>
                <w:szCs w:val="20"/>
                <w:color w:val="auto"/>
              </w:rPr>
            </w:pPr>
            <w:r>
              <w:rPr>
                <w:rFonts w:ascii="Arial" w:cs="Arial" w:eastAsia="Arial" w:hAnsi="Arial"/>
                <w:sz w:val="15"/>
                <w:szCs w:val="15"/>
                <w:color w:val="00304D"/>
              </w:rPr>
              <w:t>Director Onboarding and Continuing Education</w:t>
            </w:r>
          </w:p>
        </w:tc>
        <w:tc>
          <w:tcPr>
            <w:tcW w:w="680" w:type="dxa"/>
            <w:vAlign w:val="bottom"/>
          </w:tcPr>
          <w:p>
            <w:pPr>
              <w:jc w:val="right"/>
              <w:ind w:right="224"/>
              <w:spacing w:after="0"/>
              <w:rPr>
                <w:sz w:val="20"/>
                <w:szCs w:val="20"/>
                <w:color w:val="auto"/>
              </w:rPr>
            </w:pPr>
            <w:r>
              <w:rPr>
                <w:rFonts w:ascii="Arial" w:cs="Arial" w:eastAsia="Arial" w:hAnsi="Arial"/>
                <w:sz w:val="15"/>
                <w:szCs w:val="15"/>
                <w:color w:val="00304D"/>
              </w:rPr>
              <w:t>24</w:t>
            </w:r>
          </w:p>
        </w:tc>
        <w:tc>
          <w:tcPr>
            <w:tcW w:w="260" w:type="dxa"/>
            <w:vAlign w:val="bottom"/>
          </w:tcPr>
          <w:p>
            <w:pPr>
              <w:spacing w:after="0"/>
              <w:rPr>
                <w:sz w:val="15"/>
                <w:szCs w:val="15"/>
                <w:color w:val="auto"/>
              </w:rPr>
            </w:pPr>
          </w:p>
        </w:tc>
      </w:tr>
      <w:tr>
        <w:trPr>
          <w:trHeight w:val="177"/>
        </w:trPr>
        <w:tc>
          <w:tcPr>
            <w:tcW w:w="6200" w:type="dxa"/>
            <w:vAlign w:val="bottom"/>
          </w:tcPr>
          <w:p>
            <w:pPr>
              <w:spacing w:after="0"/>
              <w:rPr>
                <w:sz w:val="20"/>
                <w:szCs w:val="20"/>
                <w:color w:val="auto"/>
              </w:rPr>
            </w:pPr>
            <w:r>
              <w:rPr>
                <w:rFonts w:ascii="Arial" w:cs="Arial" w:eastAsia="Arial" w:hAnsi="Arial"/>
                <w:sz w:val="15"/>
                <w:szCs w:val="15"/>
                <w:color w:val="00304D"/>
              </w:rPr>
              <w:t>Succession Planning</w:t>
            </w:r>
          </w:p>
        </w:tc>
        <w:tc>
          <w:tcPr>
            <w:tcW w:w="680" w:type="dxa"/>
            <w:vAlign w:val="bottom"/>
          </w:tcPr>
          <w:p>
            <w:pPr>
              <w:jc w:val="right"/>
              <w:ind w:right="224"/>
              <w:spacing w:after="0"/>
              <w:rPr>
                <w:sz w:val="20"/>
                <w:szCs w:val="20"/>
                <w:color w:val="auto"/>
              </w:rPr>
            </w:pPr>
            <w:r>
              <w:rPr>
                <w:rFonts w:ascii="Arial" w:cs="Arial" w:eastAsia="Arial" w:hAnsi="Arial"/>
                <w:sz w:val="15"/>
                <w:szCs w:val="15"/>
                <w:color w:val="00304D"/>
              </w:rPr>
              <w:t>25</w:t>
            </w:r>
          </w:p>
        </w:tc>
        <w:tc>
          <w:tcPr>
            <w:tcW w:w="260" w:type="dxa"/>
            <w:vAlign w:val="bottom"/>
          </w:tcPr>
          <w:p>
            <w:pPr>
              <w:spacing w:after="0"/>
              <w:rPr>
                <w:sz w:val="15"/>
                <w:szCs w:val="15"/>
                <w:color w:val="auto"/>
              </w:rPr>
            </w:pPr>
          </w:p>
        </w:tc>
      </w:tr>
      <w:tr>
        <w:trPr>
          <w:trHeight w:val="177"/>
        </w:trPr>
        <w:tc>
          <w:tcPr>
            <w:tcW w:w="6200" w:type="dxa"/>
            <w:vAlign w:val="bottom"/>
          </w:tcPr>
          <w:p>
            <w:pPr>
              <w:spacing w:after="0"/>
              <w:rPr>
                <w:sz w:val="20"/>
                <w:szCs w:val="20"/>
                <w:color w:val="auto"/>
              </w:rPr>
            </w:pPr>
            <w:r>
              <w:rPr>
                <w:rFonts w:ascii="Arial" w:cs="Arial" w:eastAsia="Arial" w:hAnsi="Arial"/>
                <w:sz w:val="15"/>
                <w:szCs w:val="15"/>
                <w:color w:val="00304D"/>
              </w:rPr>
              <w:t>Board Meetings</w:t>
            </w:r>
          </w:p>
        </w:tc>
        <w:tc>
          <w:tcPr>
            <w:tcW w:w="680" w:type="dxa"/>
            <w:vAlign w:val="bottom"/>
          </w:tcPr>
          <w:p>
            <w:pPr>
              <w:jc w:val="right"/>
              <w:ind w:right="224"/>
              <w:spacing w:after="0"/>
              <w:rPr>
                <w:sz w:val="20"/>
                <w:szCs w:val="20"/>
                <w:color w:val="auto"/>
              </w:rPr>
            </w:pPr>
            <w:r>
              <w:rPr>
                <w:rFonts w:ascii="Arial" w:cs="Arial" w:eastAsia="Arial" w:hAnsi="Arial"/>
                <w:sz w:val="15"/>
                <w:szCs w:val="15"/>
                <w:color w:val="00304D"/>
              </w:rPr>
              <w:t>25</w:t>
            </w:r>
          </w:p>
        </w:tc>
        <w:tc>
          <w:tcPr>
            <w:tcW w:w="260" w:type="dxa"/>
            <w:vAlign w:val="bottom"/>
          </w:tcPr>
          <w:p>
            <w:pPr>
              <w:spacing w:after="0"/>
              <w:rPr>
                <w:sz w:val="15"/>
                <w:szCs w:val="15"/>
                <w:color w:val="auto"/>
              </w:rPr>
            </w:pPr>
          </w:p>
        </w:tc>
      </w:tr>
      <w:tr>
        <w:trPr>
          <w:trHeight w:val="177"/>
        </w:trPr>
        <w:tc>
          <w:tcPr>
            <w:tcW w:w="6200" w:type="dxa"/>
            <w:vAlign w:val="bottom"/>
          </w:tcPr>
          <w:p>
            <w:pPr>
              <w:spacing w:after="0"/>
              <w:rPr>
                <w:sz w:val="20"/>
                <w:szCs w:val="20"/>
                <w:color w:val="auto"/>
              </w:rPr>
            </w:pPr>
            <w:r>
              <w:rPr>
                <w:rFonts w:ascii="Arial" w:cs="Arial" w:eastAsia="Arial" w:hAnsi="Arial"/>
                <w:sz w:val="15"/>
                <w:szCs w:val="15"/>
                <w:color w:val="00304D"/>
              </w:rPr>
              <w:t>Committees of the Board</w:t>
            </w:r>
          </w:p>
        </w:tc>
        <w:tc>
          <w:tcPr>
            <w:tcW w:w="680" w:type="dxa"/>
            <w:vAlign w:val="bottom"/>
          </w:tcPr>
          <w:p>
            <w:pPr>
              <w:jc w:val="right"/>
              <w:ind w:right="224"/>
              <w:spacing w:after="0"/>
              <w:rPr>
                <w:sz w:val="20"/>
                <w:szCs w:val="20"/>
                <w:color w:val="auto"/>
              </w:rPr>
            </w:pPr>
            <w:r>
              <w:rPr>
                <w:rFonts w:ascii="Arial" w:cs="Arial" w:eastAsia="Arial" w:hAnsi="Arial"/>
                <w:sz w:val="15"/>
                <w:szCs w:val="15"/>
                <w:color w:val="00304D"/>
              </w:rPr>
              <w:t>25</w:t>
            </w:r>
          </w:p>
        </w:tc>
        <w:tc>
          <w:tcPr>
            <w:tcW w:w="260" w:type="dxa"/>
            <w:vAlign w:val="bottom"/>
          </w:tcPr>
          <w:p>
            <w:pPr>
              <w:spacing w:after="0"/>
              <w:rPr>
                <w:sz w:val="15"/>
                <w:szCs w:val="15"/>
                <w:color w:val="auto"/>
              </w:rPr>
            </w:pPr>
          </w:p>
        </w:tc>
      </w:tr>
      <w:tr>
        <w:trPr>
          <w:trHeight w:val="177"/>
        </w:trPr>
        <w:tc>
          <w:tcPr>
            <w:tcW w:w="6200" w:type="dxa"/>
            <w:vAlign w:val="bottom"/>
          </w:tcPr>
          <w:p>
            <w:pPr>
              <w:spacing w:after="0"/>
              <w:rPr>
                <w:sz w:val="20"/>
                <w:szCs w:val="20"/>
                <w:color w:val="auto"/>
              </w:rPr>
            </w:pPr>
            <w:r>
              <w:rPr>
                <w:rFonts w:ascii="Arial" w:cs="Arial" w:eastAsia="Arial" w:hAnsi="Arial"/>
                <w:sz w:val="15"/>
                <w:szCs w:val="15"/>
                <w:color w:val="00304D"/>
              </w:rPr>
              <w:t>Service on Other Boards</w:t>
            </w:r>
          </w:p>
        </w:tc>
        <w:tc>
          <w:tcPr>
            <w:tcW w:w="680" w:type="dxa"/>
            <w:vAlign w:val="bottom"/>
          </w:tcPr>
          <w:p>
            <w:pPr>
              <w:jc w:val="right"/>
              <w:ind w:right="224"/>
              <w:spacing w:after="0"/>
              <w:rPr>
                <w:sz w:val="20"/>
                <w:szCs w:val="20"/>
                <w:color w:val="auto"/>
              </w:rPr>
            </w:pPr>
            <w:r>
              <w:rPr>
                <w:rFonts w:ascii="Arial" w:cs="Arial" w:eastAsia="Arial" w:hAnsi="Arial"/>
                <w:sz w:val="15"/>
                <w:szCs w:val="15"/>
                <w:color w:val="00304D"/>
              </w:rPr>
              <w:t>26</w:t>
            </w:r>
          </w:p>
        </w:tc>
        <w:tc>
          <w:tcPr>
            <w:tcW w:w="260" w:type="dxa"/>
            <w:vAlign w:val="bottom"/>
          </w:tcPr>
          <w:p>
            <w:pPr>
              <w:spacing w:after="0"/>
              <w:rPr>
                <w:sz w:val="15"/>
                <w:szCs w:val="15"/>
                <w:color w:val="auto"/>
              </w:rPr>
            </w:pPr>
          </w:p>
        </w:tc>
      </w:tr>
      <w:tr>
        <w:trPr>
          <w:trHeight w:val="177"/>
        </w:trPr>
        <w:tc>
          <w:tcPr>
            <w:tcW w:w="6200" w:type="dxa"/>
            <w:vAlign w:val="bottom"/>
          </w:tcPr>
          <w:p>
            <w:pPr>
              <w:spacing w:after="0"/>
              <w:rPr>
                <w:sz w:val="20"/>
                <w:szCs w:val="20"/>
                <w:color w:val="auto"/>
              </w:rPr>
            </w:pPr>
            <w:r>
              <w:rPr>
                <w:rFonts w:ascii="Arial" w:cs="Arial" w:eastAsia="Arial" w:hAnsi="Arial"/>
                <w:sz w:val="15"/>
                <w:szCs w:val="15"/>
                <w:color w:val="00304D"/>
              </w:rPr>
              <w:t>Age and Term Limits</w:t>
            </w:r>
          </w:p>
        </w:tc>
        <w:tc>
          <w:tcPr>
            <w:tcW w:w="680" w:type="dxa"/>
            <w:vAlign w:val="bottom"/>
          </w:tcPr>
          <w:p>
            <w:pPr>
              <w:jc w:val="right"/>
              <w:ind w:right="224"/>
              <w:spacing w:after="0"/>
              <w:rPr>
                <w:sz w:val="20"/>
                <w:szCs w:val="20"/>
                <w:color w:val="auto"/>
              </w:rPr>
            </w:pPr>
            <w:r>
              <w:rPr>
                <w:rFonts w:ascii="Arial" w:cs="Arial" w:eastAsia="Arial" w:hAnsi="Arial"/>
                <w:sz w:val="15"/>
                <w:szCs w:val="15"/>
                <w:color w:val="00304D"/>
              </w:rPr>
              <w:t>26</w:t>
            </w:r>
          </w:p>
        </w:tc>
        <w:tc>
          <w:tcPr>
            <w:tcW w:w="260" w:type="dxa"/>
            <w:vAlign w:val="bottom"/>
          </w:tcPr>
          <w:p>
            <w:pPr>
              <w:spacing w:after="0"/>
              <w:rPr>
                <w:sz w:val="15"/>
                <w:szCs w:val="15"/>
                <w:color w:val="auto"/>
              </w:rPr>
            </w:pPr>
          </w:p>
        </w:tc>
      </w:tr>
      <w:tr>
        <w:trPr>
          <w:trHeight w:val="177"/>
        </w:trPr>
        <w:tc>
          <w:tcPr>
            <w:tcW w:w="6200" w:type="dxa"/>
            <w:vAlign w:val="bottom"/>
          </w:tcPr>
          <w:p>
            <w:pPr>
              <w:spacing w:after="0"/>
              <w:rPr>
                <w:sz w:val="20"/>
                <w:szCs w:val="20"/>
                <w:color w:val="auto"/>
              </w:rPr>
            </w:pPr>
            <w:r>
              <w:rPr>
                <w:rFonts w:ascii="Arial" w:cs="Arial" w:eastAsia="Arial" w:hAnsi="Arial"/>
                <w:sz w:val="15"/>
                <w:szCs w:val="15"/>
                <w:color w:val="00304D"/>
              </w:rPr>
              <w:t>Stockholder Communications With the Board</w:t>
            </w:r>
          </w:p>
        </w:tc>
        <w:tc>
          <w:tcPr>
            <w:tcW w:w="680" w:type="dxa"/>
            <w:vAlign w:val="bottom"/>
          </w:tcPr>
          <w:p>
            <w:pPr>
              <w:jc w:val="right"/>
              <w:ind w:right="224"/>
              <w:spacing w:after="0"/>
              <w:rPr>
                <w:sz w:val="20"/>
                <w:szCs w:val="20"/>
                <w:color w:val="auto"/>
              </w:rPr>
            </w:pPr>
            <w:r>
              <w:rPr>
                <w:rFonts w:ascii="Arial" w:cs="Arial" w:eastAsia="Arial" w:hAnsi="Arial"/>
                <w:sz w:val="15"/>
                <w:szCs w:val="15"/>
                <w:color w:val="00304D"/>
              </w:rPr>
              <w:t>26</w:t>
            </w:r>
          </w:p>
        </w:tc>
        <w:tc>
          <w:tcPr>
            <w:tcW w:w="260" w:type="dxa"/>
            <w:vAlign w:val="bottom"/>
          </w:tcPr>
          <w:p>
            <w:pPr>
              <w:spacing w:after="0"/>
              <w:rPr>
                <w:sz w:val="15"/>
                <w:szCs w:val="15"/>
                <w:color w:val="auto"/>
              </w:rPr>
            </w:pPr>
          </w:p>
        </w:tc>
      </w:tr>
      <w:tr>
        <w:trPr>
          <w:trHeight w:val="177"/>
        </w:trPr>
        <w:tc>
          <w:tcPr>
            <w:tcW w:w="6200" w:type="dxa"/>
            <w:vAlign w:val="bottom"/>
          </w:tcPr>
          <w:p>
            <w:pPr>
              <w:spacing w:after="0"/>
              <w:rPr>
                <w:sz w:val="20"/>
                <w:szCs w:val="20"/>
                <w:color w:val="auto"/>
              </w:rPr>
            </w:pPr>
            <w:r>
              <w:rPr>
                <w:rFonts w:ascii="Arial" w:cs="Arial" w:eastAsia="Arial" w:hAnsi="Arial"/>
                <w:sz w:val="15"/>
                <w:szCs w:val="15"/>
                <w:color w:val="00304D"/>
              </w:rPr>
              <w:t>Related Party Transactions</w:t>
            </w:r>
          </w:p>
        </w:tc>
        <w:tc>
          <w:tcPr>
            <w:tcW w:w="680" w:type="dxa"/>
            <w:vAlign w:val="bottom"/>
          </w:tcPr>
          <w:p>
            <w:pPr>
              <w:jc w:val="right"/>
              <w:ind w:right="224"/>
              <w:spacing w:after="0"/>
              <w:rPr>
                <w:sz w:val="20"/>
                <w:szCs w:val="20"/>
                <w:color w:val="auto"/>
              </w:rPr>
            </w:pPr>
            <w:r>
              <w:rPr>
                <w:rFonts w:ascii="Arial" w:cs="Arial" w:eastAsia="Arial" w:hAnsi="Arial"/>
                <w:sz w:val="15"/>
                <w:szCs w:val="15"/>
                <w:color w:val="00304D"/>
              </w:rPr>
              <w:t>27</w:t>
            </w:r>
          </w:p>
        </w:tc>
        <w:tc>
          <w:tcPr>
            <w:tcW w:w="260" w:type="dxa"/>
            <w:vAlign w:val="bottom"/>
          </w:tcPr>
          <w:p>
            <w:pPr>
              <w:spacing w:after="0"/>
              <w:rPr>
                <w:sz w:val="15"/>
                <w:szCs w:val="15"/>
                <w:color w:val="auto"/>
              </w:rPr>
            </w:pPr>
          </w:p>
        </w:tc>
      </w:tr>
      <w:tr>
        <w:trPr>
          <w:trHeight w:val="177"/>
        </w:trPr>
        <w:tc>
          <w:tcPr>
            <w:tcW w:w="6200" w:type="dxa"/>
            <w:vAlign w:val="bottom"/>
          </w:tcPr>
          <w:p>
            <w:pPr>
              <w:spacing w:after="0"/>
              <w:rPr>
                <w:sz w:val="20"/>
                <w:szCs w:val="20"/>
                <w:color w:val="auto"/>
              </w:rPr>
            </w:pPr>
            <w:r>
              <w:rPr>
                <w:rFonts w:ascii="Arial" w:cs="Arial" w:eastAsia="Arial" w:hAnsi="Arial"/>
                <w:sz w:val="15"/>
                <w:szCs w:val="15"/>
                <w:color w:val="00304D"/>
              </w:rPr>
              <w:t>Governance Documents</w:t>
            </w:r>
          </w:p>
        </w:tc>
        <w:tc>
          <w:tcPr>
            <w:tcW w:w="680" w:type="dxa"/>
            <w:vAlign w:val="bottom"/>
          </w:tcPr>
          <w:p>
            <w:pPr>
              <w:jc w:val="right"/>
              <w:ind w:right="224"/>
              <w:spacing w:after="0"/>
              <w:rPr>
                <w:sz w:val="20"/>
                <w:szCs w:val="20"/>
                <w:color w:val="auto"/>
              </w:rPr>
            </w:pPr>
            <w:r>
              <w:rPr>
                <w:rFonts w:ascii="Arial" w:cs="Arial" w:eastAsia="Arial" w:hAnsi="Arial"/>
                <w:sz w:val="15"/>
                <w:szCs w:val="15"/>
                <w:color w:val="00304D"/>
              </w:rPr>
              <w:t>27</w:t>
            </w:r>
          </w:p>
        </w:tc>
        <w:tc>
          <w:tcPr>
            <w:tcW w:w="260" w:type="dxa"/>
            <w:vAlign w:val="bottom"/>
          </w:tcPr>
          <w:p>
            <w:pPr>
              <w:spacing w:after="0"/>
              <w:rPr>
                <w:sz w:val="15"/>
                <w:szCs w:val="15"/>
                <w:color w:val="auto"/>
              </w:rPr>
            </w:pPr>
          </w:p>
        </w:tc>
      </w:tr>
      <w:tr>
        <w:trPr>
          <w:trHeight w:val="177"/>
        </w:trPr>
        <w:tc>
          <w:tcPr>
            <w:tcW w:w="6200" w:type="dxa"/>
            <w:vAlign w:val="bottom"/>
          </w:tcPr>
          <w:p>
            <w:pPr>
              <w:spacing w:after="0"/>
              <w:rPr>
                <w:sz w:val="20"/>
                <w:szCs w:val="20"/>
                <w:color w:val="auto"/>
              </w:rPr>
            </w:pPr>
            <w:r>
              <w:rPr>
                <w:rFonts w:ascii="Arial" w:cs="Arial" w:eastAsia="Arial" w:hAnsi="Arial"/>
                <w:sz w:val="15"/>
                <w:szCs w:val="15"/>
                <w:color w:val="00304D"/>
              </w:rPr>
              <w:t>Director Compensation</w:t>
            </w:r>
          </w:p>
        </w:tc>
        <w:tc>
          <w:tcPr>
            <w:tcW w:w="680" w:type="dxa"/>
            <w:vAlign w:val="bottom"/>
          </w:tcPr>
          <w:p>
            <w:pPr>
              <w:jc w:val="right"/>
              <w:ind w:right="224"/>
              <w:spacing w:after="0"/>
              <w:rPr>
                <w:sz w:val="20"/>
                <w:szCs w:val="20"/>
                <w:color w:val="auto"/>
              </w:rPr>
            </w:pPr>
            <w:r>
              <w:rPr>
                <w:rFonts w:ascii="Arial" w:cs="Arial" w:eastAsia="Arial" w:hAnsi="Arial"/>
                <w:sz w:val="15"/>
                <w:szCs w:val="15"/>
                <w:color w:val="00304D"/>
              </w:rPr>
              <w:t>27</w:t>
            </w:r>
          </w:p>
        </w:tc>
        <w:tc>
          <w:tcPr>
            <w:tcW w:w="260" w:type="dxa"/>
            <w:vAlign w:val="bottom"/>
          </w:tcPr>
          <w:p>
            <w:pPr>
              <w:spacing w:after="0"/>
              <w:rPr>
                <w:sz w:val="15"/>
                <w:szCs w:val="15"/>
                <w:color w:val="auto"/>
              </w:rPr>
            </w:pPr>
          </w:p>
        </w:tc>
      </w:tr>
      <w:tr>
        <w:trPr>
          <w:trHeight w:val="199"/>
        </w:trPr>
        <w:tc>
          <w:tcPr>
            <w:tcW w:w="6200" w:type="dxa"/>
            <w:vAlign w:val="bottom"/>
          </w:tcPr>
          <w:p>
            <w:pPr>
              <w:spacing w:after="0"/>
              <w:rPr>
                <w:sz w:val="20"/>
                <w:szCs w:val="20"/>
                <w:color w:val="auto"/>
              </w:rPr>
            </w:pPr>
            <w:r>
              <w:rPr>
                <w:rFonts w:ascii="Arial" w:cs="Arial" w:eastAsia="Arial" w:hAnsi="Arial"/>
                <w:sz w:val="15"/>
                <w:szCs w:val="15"/>
                <w:color w:val="00304D"/>
              </w:rPr>
              <w:t>Sustainability</w:t>
            </w:r>
          </w:p>
        </w:tc>
        <w:tc>
          <w:tcPr>
            <w:tcW w:w="680" w:type="dxa"/>
            <w:vAlign w:val="bottom"/>
          </w:tcPr>
          <w:p>
            <w:pPr>
              <w:jc w:val="right"/>
              <w:ind w:right="224"/>
              <w:spacing w:after="0"/>
              <w:rPr>
                <w:sz w:val="20"/>
                <w:szCs w:val="20"/>
                <w:color w:val="auto"/>
              </w:rPr>
            </w:pPr>
            <w:r>
              <w:rPr>
                <w:rFonts w:ascii="Arial" w:cs="Arial" w:eastAsia="Arial" w:hAnsi="Arial"/>
                <w:sz w:val="15"/>
                <w:szCs w:val="15"/>
                <w:color w:val="00304D"/>
              </w:rPr>
              <w:t>29</w:t>
            </w:r>
          </w:p>
        </w:tc>
        <w:tc>
          <w:tcPr>
            <w:tcW w:w="260" w:type="dxa"/>
            <w:vAlign w:val="bottom"/>
          </w:tcPr>
          <w:p>
            <w:pPr>
              <w:spacing w:after="0"/>
              <w:rPr>
                <w:sz w:val="17"/>
                <w:szCs w:val="17"/>
                <w:color w:val="auto"/>
              </w:rPr>
            </w:pPr>
          </w:p>
        </w:tc>
      </w:tr>
      <w:tr>
        <w:trPr>
          <w:trHeight w:val="349"/>
        </w:trPr>
        <w:tc>
          <w:tcPr>
            <w:tcW w:w="6200" w:type="dxa"/>
            <w:vAlign w:val="bottom"/>
          </w:tcPr>
          <w:p>
            <w:pPr>
              <w:spacing w:after="0"/>
              <w:rPr>
                <w:sz w:val="20"/>
                <w:szCs w:val="20"/>
                <w:color w:val="auto"/>
              </w:rPr>
            </w:pPr>
            <w:r>
              <w:rPr>
                <w:rFonts w:ascii="Arial" w:cs="Arial" w:eastAsia="Arial" w:hAnsi="Arial"/>
                <w:sz w:val="15"/>
                <w:szCs w:val="15"/>
                <w:b w:val="1"/>
                <w:bCs w:val="1"/>
                <w:color w:val="00304D"/>
              </w:rPr>
              <w:t>Executive Officers</w:t>
            </w:r>
          </w:p>
        </w:tc>
        <w:tc>
          <w:tcPr>
            <w:tcW w:w="680" w:type="dxa"/>
            <w:vAlign w:val="bottom"/>
          </w:tcPr>
          <w:p>
            <w:pPr>
              <w:jc w:val="right"/>
              <w:ind w:right="224"/>
              <w:spacing w:after="0"/>
              <w:rPr>
                <w:sz w:val="20"/>
                <w:szCs w:val="20"/>
                <w:color w:val="auto"/>
              </w:rPr>
            </w:pPr>
            <w:r>
              <w:rPr>
                <w:rFonts w:ascii="Arial" w:cs="Arial" w:eastAsia="Arial" w:hAnsi="Arial"/>
                <w:sz w:val="15"/>
                <w:szCs w:val="15"/>
                <w:b w:val="1"/>
                <w:bCs w:val="1"/>
                <w:color w:val="00304D"/>
              </w:rPr>
              <w:t>31</w:t>
            </w:r>
          </w:p>
        </w:tc>
        <w:tc>
          <w:tcPr>
            <w:tcW w:w="260" w:type="dxa"/>
            <w:vAlign w:val="bottom"/>
          </w:tcPr>
          <w:p>
            <w:pPr>
              <w:spacing w:after="0"/>
              <w:rPr>
                <w:sz w:val="24"/>
                <w:szCs w:val="24"/>
                <w:color w:val="auto"/>
              </w:rPr>
            </w:pPr>
          </w:p>
        </w:tc>
      </w:tr>
      <w:tr>
        <w:trPr>
          <w:trHeight w:val="298"/>
        </w:trPr>
        <w:tc>
          <w:tcPr>
            <w:tcW w:w="6200" w:type="dxa"/>
            <w:vAlign w:val="bottom"/>
          </w:tcPr>
          <w:p>
            <w:pPr>
              <w:spacing w:after="0"/>
              <w:rPr>
                <w:sz w:val="20"/>
                <w:szCs w:val="20"/>
                <w:color w:val="auto"/>
              </w:rPr>
            </w:pPr>
            <w:r>
              <w:rPr>
                <w:rFonts w:ascii="Arial" w:cs="Arial" w:eastAsia="Arial" w:hAnsi="Arial"/>
                <w:sz w:val="15"/>
                <w:szCs w:val="15"/>
                <w:b w:val="1"/>
                <w:bCs w:val="1"/>
                <w:color w:val="265E7C"/>
              </w:rPr>
              <w:t xml:space="preserve">Proposal 2: </w:t>
            </w:r>
            <w:r>
              <w:rPr>
                <w:rFonts w:ascii="Arial" w:cs="Arial" w:eastAsia="Arial" w:hAnsi="Arial"/>
                <w:sz w:val="15"/>
                <w:szCs w:val="15"/>
                <w:b w:val="1"/>
                <w:bCs w:val="1"/>
                <w:color w:val="002F4D"/>
              </w:rPr>
              <w:t>Advisory Vote to Approve Named Executive Officer Compensation</w:t>
            </w:r>
          </w:p>
        </w:tc>
        <w:tc>
          <w:tcPr>
            <w:tcW w:w="680" w:type="dxa"/>
            <w:vAlign w:val="bottom"/>
          </w:tcPr>
          <w:p>
            <w:pPr>
              <w:jc w:val="right"/>
              <w:ind w:right="224"/>
              <w:spacing w:after="0"/>
              <w:rPr>
                <w:sz w:val="20"/>
                <w:szCs w:val="20"/>
                <w:color w:val="auto"/>
              </w:rPr>
            </w:pPr>
            <w:r>
              <w:rPr>
                <w:rFonts w:ascii="Arial" w:cs="Arial" w:eastAsia="Arial" w:hAnsi="Arial"/>
                <w:sz w:val="15"/>
                <w:szCs w:val="15"/>
                <w:b w:val="1"/>
                <w:bCs w:val="1"/>
                <w:color w:val="00304D"/>
              </w:rPr>
              <w:t>32</w:t>
            </w:r>
          </w:p>
        </w:tc>
        <w:tc>
          <w:tcPr>
            <w:tcW w:w="260" w:type="dxa"/>
            <w:vAlign w:val="bottom"/>
          </w:tcPr>
          <w:p>
            <w:pPr>
              <w:spacing w:after="0"/>
              <w:rPr>
                <w:sz w:val="24"/>
                <w:szCs w:val="24"/>
                <w:color w:val="auto"/>
              </w:rPr>
            </w:pPr>
          </w:p>
        </w:tc>
      </w:tr>
      <w:tr>
        <w:trPr>
          <w:trHeight w:val="199"/>
        </w:trPr>
        <w:tc>
          <w:tcPr>
            <w:tcW w:w="6200" w:type="dxa"/>
            <w:vAlign w:val="bottom"/>
          </w:tcPr>
          <w:p>
            <w:pPr>
              <w:spacing w:after="0"/>
              <w:rPr>
                <w:sz w:val="20"/>
                <w:szCs w:val="20"/>
                <w:color w:val="auto"/>
              </w:rPr>
            </w:pPr>
            <w:r>
              <w:rPr>
                <w:rFonts w:ascii="Arial" w:cs="Arial" w:eastAsia="Arial" w:hAnsi="Arial"/>
                <w:sz w:val="15"/>
                <w:szCs w:val="15"/>
                <w:color w:val="00304D"/>
              </w:rPr>
              <w:t>Vote Required for Approval; Board Recommendation</w:t>
            </w:r>
          </w:p>
        </w:tc>
        <w:tc>
          <w:tcPr>
            <w:tcW w:w="680" w:type="dxa"/>
            <w:vAlign w:val="bottom"/>
          </w:tcPr>
          <w:p>
            <w:pPr>
              <w:jc w:val="right"/>
              <w:ind w:right="224"/>
              <w:spacing w:after="0"/>
              <w:rPr>
                <w:sz w:val="20"/>
                <w:szCs w:val="20"/>
                <w:color w:val="auto"/>
              </w:rPr>
            </w:pPr>
            <w:r>
              <w:rPr>
                <w:rFonts w:ascii="Arial" w:cs="Arial" w:eastAsia="Arial" w:hAnsi="Arial"/>
                <w:sz w:val="15"/>
                <w:szCs w:val="15"/>
                <w:color w:val="00304D"/>
              </w:rPr>
              <w:t>32</w:t>
            </w:r>
          </w:p>
        </w:tc>
        <w:tc>
          <w:tcPr>
            <w:tcW w:w="260" w:type="dxa"/>
            <w:vAlign w:val="bottom"/>
          </w:tcPr>
          <w:p>
            <w:pPr>
              <w:spacing w:after="0"/>
              <w:rPr>
                <w:sz w:val="17"/>
                <w:szCs w:val="17"/>
                <w:color w:val="auto"/>
              </w:rPr>
            </w:pPr>
          </w:p>
        </w:tc>
      </w:tr>
      <w:tr>
        <w:trPr>
          <w:trHeight w:val="318"/>
        </w:trPr>
        <w:tc>
          <w:tcPr>
            <w:tcW w:w="6200" w:type="dxa"/>
            <w:vAlign w:val="bottom"/>
          </w:tcPr>
          <w:p>
            <w:pPr>
              <w:spacing w:after="0"/>
              <w:rPr>
                <w:sz w:val="20"/>
                <w:szCs w:val="20"/>
                <w:color w:val="auto"/>
              </w:rPr>
            </w:pPr>
            <w:r>
              <w:rPr>
                <w:rFonts w:ascii="Arial" w:cs="Arial" w:eastAsia="Arial" w:hAnsi="Arial"/>
                <w:sz w:val="15"/>
                <w:szCs w:val="15"/>
                <w:b w:val="1"/>
                <w:bCs w:val="1"/>
                <w:color w:val="00304D"/>
              </w:rPr>
              <w:t>Executive Compensation</w:t>
            </w:r>
          </w:p>
        </w:tc>
        <w:tc>
          <w:tcPr>
            <w:tcW w:w="680" w:type="dxa"/>
            <w:vAlign w:val="bottom"/>
          </w:tcPr>
          <w:p>
            <w:pPr>
              <w:jc w:val="right"/>
              <w:ind w:right="224"/>
              <w:spacing w:after="0"/>
              <w:rPr>
                <w:sz w:val="20"/>
                <w:szCs w:val="20"/>
                <w:color w:val="auto"/>
              </w:rPr>
            </w:pPr>
            <w:r>
              <w:rPr>
                <w:rFonts w:ascii="Arial" w:cs="Arial" w:eastAsia="Arial" w:hAnsi="Arial"/>
                <w:sz w:val="15"/>
                <w:szCs w:val="15"/>
                <w:b w:val="1"/>
                <w:bCs w:val="1"/>
                <w:color w:val="00304D"/>
              </w:rPr>
              <w:t>33</w:t>
            </w:r>
          </w:p>
        </w:tc>
        <w:tc>
          <w:tcPr>
            <w:tcW w:w="260" w:type="dxa"/>
            <w:vAlign w:val="bottom"/>
          </w:tcPr>
          <w:p>
            <w:pPr>
              <w:spacing w:after="0"/>
              <w:rPr>
                <w:sz w:val="24"/>
                <w:szCs w:val="24"/>
                <w:color w:val="auto"/>
              </w:rPr>
            </w:pPr>
          </w:p>
        </w:tc>
      </w:tr>
      <w:tr>
        <w:trPr>
          <w:trHeight w:val="177"/>
        </w:trPr>
        <w:tc>
          <w:tcPr>
            <w:tcW w:w="6200" w:type="dxa"/>
            <w:vAlign w:val="bottom"/>
          </w:tcPr>
          <w:p>
            <w:pPr>
              <w:spacing w:after="0"/>
              <w:rPr>
                <w:sz w:val="20"/>
                <w:szCs w:val="20"/>
                <w:color w:val="auto"/>
              </w:rPr>
            </w:pPr>
            <w:r>
              <w:rPr>
                <w:rFonts w:ascii="Arial" w:cs="Arial" w:eastAsia="Arial" w:hAnsi="Arial"/>
                <w:sz w:val="15"/>
                <w:szCs w:val="15"/>
                <w:color w:val="00304D"/>
              </w:rPr>
              <w:t>Compensation Discussion and Analysis</w:t>
            </w:r>
          </w:p>
        </w:tc>
        <w:tc>
          <w:tcPr>
            <w:tcW w:w="680" w:type="dxa"/>
            <w:vAlign w:val="bottom"/>
          </w:tcPr>
          <w:p>
            <w:pPr>
              <w:jc w:val="right"/>
              <w:ind w:right="224"/>
              <w:spacing w:after="0"/>
              <w:rPr>
                <w:sz w:val="20"/>
                <w:szCs w:val="20"/>
                <w:color w:val="auto"/>
              </w:rPr>
            </w:pPr>
            <w:r>
              <w:rPr>
                <w:rFonts w:ascii="Arial" w:cs="Arial" w:eastAsia="Arial" w:hAnsi="Arial"/>
                <w:sz w:val="15"/>
                <w:szCs w:val="15"/>
                <w:color w:val="00304D"/>
              </w:rPr>
              <w:t>33</w:t>
            </w:r>
          </w:p>
        </w:tc>
        <w:tc>
          <w:tcPr>
            <w:tcW w:w="260" w:type="dxa"/>
            <w:vAlign w:val="bottom"/>
          </w:tcPr>
          <w:p>
            <w:pPr>
              <w:spacing w:after="0"/>
              <w:rPr>
                <w:sz w:val="15"/>
                <w:szCs w:val="15"/>
                <w:color w:val="auto"/>
              </w:rPr>
            </w:pPr>
          </w:p>
        </w:tc>
      </w:tr>
      <w:tr>
        <w:trPr>
          <w:trHeight w:val="199"/>
        </w:trPr>
        <w:tc>
          <w:tcPr>
            <w:tcW w:w="6200" w:type="dxa"/>
            <w:vAlign w:val="bottom"/>
          </w:tcPr>
          <w:p>
            <w:pPr>
              <w:spacing w:after="0"/>
              <w:rPr>
                <w:sz w:val="20"/>
                <w:szCs w:val="20"/>
                <w:color w:val="auto"/>
              </w:rPr>
            </w:pPr>
            <w:r>
              <w:rPr>
                <w:rFonts w:ascii="Arial" w:cs="Arial" w:eastAsia="Arial" w:hAnsi="Arial"/>
                <w:sz w:val="15"/>
                <w:szCs w:val="15"/>
                <w:color w:val="00304D"/>
              </w:rPr>
              <w:t>Report of the Compensation Committee of the Board of Directors</w:t>
            </w:r>
          </w:p>
        </w:tc>
        <w:tc>
          <w:tcPr>
            <w:tcW w:w="680" w:type="dxa"/>
            <w:vAlign w:val="bottom"/>
          </w:tcPr>
          <w:p>
            <w:pPr>
              <w:jc w:val="right"/>
              <w:ind w:right="224"/>
              <w:spacing w:after="0"/>
              <w:rPr>
                <w:sz w:val="20"/>
                <w:szCs w:val="20"/>
                <w:color w:val="auto"/>
              </w:rPr>
            </w:pPr>
            <w:r>
              <w:rPr>
                <w:rFonts w:ascii="Arial" w:cs="Arial" w:eastAsia="Arial" w:hAnsi="Arial"/>
                <w:sz w:val="15"/>
                <w:szCs w:val="15"/>
                <w:color w:val="00304D"/>
              </w:rPr>
              <w:t>42</w:t>
            </w:r>
          </w:p>
        </w:tc>
        <w:tc>
          <w:tcPr>
            <w:tcW w:w="260" w:type="dxa"/>
            <w:vAlign w:val="bottom"/>
          </w:tcPr>
          <w:p>
            <w:pPr>
              <w:spacing w:after="0"/>
              <w:rPr>
                <w:sz w:val="17"/>
                <w:szCs w:val="17"/>
                <w:color w:val="auto"/>
              </w:rPr>
            </w:pPr>
          </w:p>
        </w:tc>
      </w:tr>
      <w:tr>
        <w:trPr>
          <w:trHeight w:val="349"/>
        </w:trPr>
        <w:tc>
          <w:tcPr>
            <w:tcW w:w="6200" w:type="dxa"/>
            <w:vAlign w:val="bottom"/>
          </w:tcPr>
          <w:p>
            <w:pPr>
              <w:spacing w:after="0"/>
              <w:rPr>
                <w:sz w:val="20"/>
                <w:szCs w:val="20"/>
                <w:color w:val="auto"/>
              </w:rPr>
            </w:pPr>
            <w:r>
              <w:rPr>
                <w:rFonts w:ascii="Arial" w:cs="Arial" w:eastAsia="Arial" w:hAnsi="Arial"/>
                <w:sz w:val="15"/>
                <w:szCs w:val="15"/>
                <w:b w:val="1"/>
                <w:bCs w:val="1"/>
                <w:color w:val="00304D"/>
              </w:rPr>
              <w:t>Executive Compensation Tables</w:t>
            </w:r>
          </w:p>
        </w:tc>
        <w:tc>
          <w:tcPr>
            <w:tcW w:w="680" w:type="dxa"/>
            <w:vAlign w:val="bottom"/>
          </w:tcPr>
          <w:p>
            <w:pPr>
              <w:jc w:val="right"/>
              <w:ind w:right="224"/>
              <w:spacing w:after="0"/>
              <w:rPr>
                <w:sz w:val="20"/>
                <w:szCs w:val="20"/>
                <w:color w:val="auto"/>
              </w:rPr>
            </w:pPr>
            <w:r>
              <w:rPr>
                <w:rFonts w:ascii="Arial" w:cs="Arial" w:eastAsia="Arial" w:hAnsi="Arial"/>
                <w:sz w:val="15"/>
                <w:szCs w:val="15"/>
                <w:b w:val="1"/>
                <w:bCs w:val="1"/>
                <w:color w:val="00304D"/>
              </w:rPr>
              <w:t>43</w:t>
            </w:r>
          </w:p>
        </w:tc>
        <w:tc>
          <w:tcPr>
            <w:tcW w:w="260" w:type="dxa"/>
            <w:vAlign w:val="bottom"/>
          </w:tcPr>
          <w:p>
            <w:pPr>
              <w:spacing w:after="0"/>
              <w:rPr>
                <w:sz w:val="24"/>
                <w:szCs w:val="24"/>
                <w:color w:val="auto"/>
              </w:rPr>
            </w:pPr>
          </w:p>
        </w:tc>
      </w:tr>
      <w:tr>
        <w:trPr>
          <w:trHeight w:val="341"/>
        </w:trPr>
        <w:tc>
          <w:tcPr>
            <w:tcW w:w="6200" w:type="dxa"/>
            <w:vAlign w:val="bottom"/>
          </w:tcPr>
          <w:p>
            <w:pPr>
              <w:spacing w:after="0"/>
              <w:rPr>
                <w:sz w:val="20"/>
                <w:szCs w:val="20"/>
                <w:color w:val="auto"/>
              </w:rPr>
            </w:pPr>
            <w:r>
              <w:rPr>
                <w:rFonts w:ascii="Arial" w:cs="Arial" w:eastAsia="Arial" w:hAnsi="Arial"/>
                <w:sz w:val="15"/>
                <w:szCs w:val="15"/>
                <w:b w:val="1"/>
                <w:bCs w:val="1"/>
                <w:color w:val="00304D"/>
              </w:rPr>
              <w:t>Security Ownership of Certain Beneficial Owners and Management</w:t>
            </w:r>
          </w:p>
        </w:tc>
        <w:tc>
          <w:tcPr>
            <w:tcW w:w="680" w:type="dxa"/>
            <w:vAlign w:val="bottom"/>
          </w:tcPr>
          <w:p>
            <w:pPr>
              <w:jc w:val="right"/>
              <w:ind w:right="224"/>
              <w:spacing w:after="0"/>
              <w:rPr>
                <w:sz w:val="20"/>
                <w:szCs w:val="20"/>
                <w:color w:val="auto"/>
              </w:rPr>
            </w:pPr>
            <w:r>
              <w:rPr>
                <w:rFonts w:ascii="Arial" w:cs="Arial" w:eastAsia="Arial" w:hAnsi="Arial"/>
                <w:sz w:val="15"/>
                <w:szCs w:val="15"/>
                <w:b w:val="1"/>
                <w:bCs w:val="1"/>
                <w:color w:val="00304D"/>
              </w:rPr>
              <w:t>54</w:t>
            </w:r>
          </w:p>
        </w:tc>
        <w:tc>
          <w:tcPr>
            <w:tcW w:w="260" w:type="dxa"/>
            <w:vAlign w:val="bottom"/>
          </w:tcPr>
          <w:p>
            <w:pPr>
              <w:spacing w:after="0"/>
              <w:rPr>
                <w:sz w:val="24"/>
                <w:szCs w:val="24"/>
                <w:color w:val="auto"/>
              </w:rPr>
            </w:pPr>
          </w:p>
        </w:tc>
      </w:tr>
      <w:tr>
        <w:trPr>
          <w:trHeight w:val="310"/>
        </w:trPr>
        <w:tc>
          <w:tcPr>
            <w:tcW w:w="6200" w:type="dxa"/>
            <w:vAlign w:val="bottom"/>
          </w:tcPr>
          <w:p>
            <w:pPr>
              <w:spacing w:after="0"/>
              <w:rPr>
                <w:sz w:val="20"/>
                <w:szCs w:val="20"/>
                <w:color w:val="auto"/>
              </w:rPr>
            </w:pPr>
            <w:r>
              <w:rPr>
                <w:rFonts w:ascii="Arial" w:cs="Arial" w:eastAsia="Arial" w:hAnsi="Arial"/>
                <w:sz w:val="15"/>
                <w:szCs w:val="15"/>
                <w:b w:val="1"/>
                <w:bCs w:val="1"/>
                <w:color w:val="265E7C"/>
              </w:rPr>
              <w:t xml:space="preserve">Proposal 3: </w:t>
            </w:r>
            <w:r>
              <w:rPr>
                <w:rFonts w:ascii="Arial" w:cs="Arial" w:eastAsia="Arial" w:hAnsi="Arial"/>
                <w:sz w:val="15"/>
                <w:szCs w:val="15"/>
                <w:b w:val="1"/>
                <w:bCs w:val="1"/>
                <w:color w:val="002F4D"/>
              </w:rPr>
              <w:t>Ratification of Selection of Independent Registered Public Accountants</w:t>
            </w:r>
          </w:p>
        </w:tc>
        <w:tc>
          <w:tcPr>
            <w:tcW w:w="680" w:type="dxa"/>
            <w:vAlign w:val="bottom"/>
          </w:tcPr>
          <w:p>
            <w:pPr>
              <w:jc w:val="right"/>
              <w:ind w:right="224"/>
              <w:spacing w:after="0"/>
              <w:rPr>
                <w:sz w:val="20"/>
                <w:szCs w:val="20"/>
                <w:color w:val="auto"/>
              </w:rPr>
            </w:pPr>
            <w:r>
              <w:rPr>
                <w:rFonts w:ascii="Arial" w:cs="Arial" w:eastAsia="Arial" w:hAnsi="Arial"/>
                <w:sz w:val="15"/>
                <w:szCs w:val="15"/>
                <w:b w:val="1"/>
                <w:bCs w:val="1"/>
                <w:color w:val="00304D"/>
              </w:rPr>
              <w:t>56</w:t>
            </w:r>
          </w:p>
        </w:tc>
        <w:tc>
          <w:tcPr>
            <w:tcW w:w="260" w:type="dxa"/>
            <w:vAlign w:val="bottom"/>
          </w:tcPr>
          <w:p>
            <w:pPr>
              <w:spacing w:after="0"/>
              <w:rPr>
                <w:sz w:val="24"/>
                <w:szCs w:val="24"/>
                <w:color w:val="auto"/>
              </w:rPr>
            </w:pPr>
          </w:p>
        </w:tc>
      </w:tr>
      <w:tr>
        <w:trPr>
          <w:trHeight w:val="177"/>
        </w:trPr>
        <w:tc>
          <w:tcPr>
            <w:tcW w:w="6200" w:type="dxa"/>
            <w:vAlign w:val="bottom"/>
          </w:tcPr>
          <w:p>
            <w:pPr>
              <w:spacing w:after="0"/>
              <w:rPr>
                <w:sz w:val="20"/>
                <w:szCs w:val="20"/>
                <w:color w:val="auto"/>
              </w:rPr>
            </w:pPr>
            <w:r>
              <w:rPr>
                <w:rFonts w:ascii="Arial" w:cs="Arial" w:eastAsia="Arial" w:hAnsi="Arial"/>
                <w:sz w:val="15"/>
                <w:szCs w:val="15"/>
                <w:color w:val="00304D"/>
              </w:rPr>
              <w:t>Vote Required for Approval; Board Recommendation</w:t>
            </w:r>
          </w:p>
        </w:tc>
        <w:tc>
          <w:tcPr>
            <w:tcW w:w="680" w:type="dxa"/>
            <w:vAlign w:val="bottom"/>
          </w:tcPr>
          <w:p>
            <w:pPr>
              <w:jc w:val="right"/>
              <w:ind w:right="224"/>
              <w:spacing w:after="0"/>
              <w:rPr>
                <w:sz w:val="20"/>
                <w:szCs w:val="20"/>
                <w:color w:val="auto"/>
              </w:rPr>
            </w:pPr>
            <w:r>
              <w:rPr>
                <w:rFonts w:ascii="Arial" w:cs="Arial" w:eastAsia="Arial" w:hAnsi="Arial"/>
                <w:sz w:val="15"/>
                <w:szCs w:val="15"/>
                <w:color w:val="00304D"/>
              </w:rPr>
              <w:t>56</w:t>
            </w:r>
          </w:p>
        </w:tc>
        <w:tc>
          <w:tcPr>
            <w:tcW w:w="260" w:type="dxa"/>
            <w:vAlign w:val="bottom"/>
          </w:tcPr>
          <w:p>
            <w:pPr>
              <w:spacing w:after="0"/>
              <w:rPr>
                <w:sz w:val="15"/>
                <w:szCs w:val="15"/>
                <w:color w:val="auto"/>
              </w:rPr>
            </w:pPr>
          </w:p>
        </w:tc>
      </w:tr>
      <w:tr>
        <w:trPr>
          <w:trHeight w:val="199"/>
        </w:trPr>
        <w:tc>
          <w:tcPr>
            <w:tcW w:w="6200" w:type="dxa"/>
            <w:vAlign w:val="bottom"/>
          </w:tcPr>
          <w:p>
            <w:pPr>
              <w:spacing w:after="0"/>
              <w:rPr>
                <w:sz w:val="20"/>
                <w:szCs w:val="20"/>
                <w:color w:val="auto"/>
              </w:rPr>
            </w:pPr>
            <w:r>
              <w:rPr>
                <w:rFonts w:ascii="Arial" w:cs="Arial" w:eastAsia="Arial" w:hAnsi="Arial"/>
                <w:sz w:val="15"/>
                <w:szCs w:val="15"/>
                <w:color w:val="00304D"/>
              </w:rPr>
              <w:t>Report of the Audit Committee</w:t>
            </w:r>
          </w:p>
        </w:tc>
        <w:tc>
          <w:tcPr>
            <w:tcW w:w="680" w:type="dxa"/>
            <w:vAlign w:val="bottom"/>
          </w:tcPr>
          <w:p>
            <w:pPr>
              <w:jc w:val="right"/>
              <w:ind w:right="224"/>
              <w:spacing w:after="0"/>
              <w:rPr>
                <w:sz w:val="20"/>
                <w:szCs w:val="20"/>
                <w:color w:val="auto"/>
              </w:rPr>
            </w:pPr>
            <w:r>
              <w:rPr>
                <w:rFonts w:ascii="Arial" w:cs="Arial" w:eastAsia="Arial" w:hAnsi="Arial"/>
                <w:sz w:val="15"/>
                <w:szCs w:val="15"/>
                <w:color w:val="00304D"/>
              </w:rPr>
              <w:t>57</w:t>
            </w:r>
          </w:p>
        </w:tc>
        <w:tc>
          <w:tcPr>
            <w:tcW w:w="260" w:type="dxa"/>
            <w:vAlign w:val="bottom"/>
          </w:tcPr>
          <w:p>
            <w:pPr>
              <w:spacing w:after="0"/>
              <w:rPr>
                <w:sz w:val="17"/>
                <w:szCs w:val="17"/>
                <w:color w:val="auto"/>
              </w:rPr>
            </w:pPr>
          </w:p>
        </w:tc>
      </w:tr>
      <w:tr>
        <w:trPr>
          <w:trHeight w:val="349"/>
        </w:trPr>
        <w:tc>
          <w:tcPr>
            <w:tcW w:w="6200" w:type="dxa"/>
            <w:vAlign w:val="bottom"/>
          </w:tcPr>
          <w:p>
            <w:pPr>
              <w:spacing w:after="0"/>
              <w:rPr>
                <w:sz w:val="20"/>
                <w:szCs w:val="20"/>
                <w:color w:val="auto"/>
              </w:rPr>
            </w:pPr>
            <w:r>
              <w:rPr>
                <w:rFonts w:ascii="Arial" w:cs="Arial" w:eastAsia="Arial" w:hAnsi="Arial"/>
                <w:sz w:val="15"/>
                <w:szCs w:val="15"/>
                <w:b w:val="1"/>
                <w:bCs w:val="1"/>
                <w:color w:val="00304D"/>
              </w:rPr>
              <w:t>Information About the Annual Meeting</w:t>
            </w:r>
          </w:p>
        </w:tc>
        <w:tc>
          <w:tcPr>
            <w:tcW w:w="680" w:type="dxa"/>
            <w:vAlign w:val="bottom"/>
          </w:tcPr>
          <w:p>
            <w:pPr>
              <w:jc w:val="right"/>
              <w:ind w:right="224"/>
              <w:spacing w:after="0"/>
              <w:rPr>
                <w:sz w:val="20"/>
                <w:szCs w:val="20"/>
                <w:color w:val="auto"/>
              </w:rPr>
            </w:pPr>
            <w:r>
              <w:rPr>
                <w:rFonts w:ascii="Arial" w:cs="Arial" w:eastAsia="Arial" w:hAnsi="Arial"/>
                <w:sz w:val="15"/>
                <w:szCs w:val="15"/>
                <w:b w:val="1"/>
                <w:bCs w:val="1"/>
                <w:color w:val="00304D"/>
              </w:rPr>
              <w:t>58</w:t>
            </w:r>
          </w:p>
        </w:tc>
        <w:tc>
          <w:tcPr>
            <w:tcW w:w="260" w:type="dxa"/>
            <w:vAlign w:val="bottom"/>
          </w:tcPr>
          <w:p>
            <w:pPr>
              <w:spacing w:after="0"/>
              <w:rPr>
                <w:sz w:val="24"/>
                <w:szCs w:val="24"/>
                <w:color w:val="auto"/>
              </w:rPr>
            </w:pPr>
          </w:p>
        </w:tc>
      </w:tr>
      <w:tr>
        <w:trPr>
          <w:trHeight w:val="341"/>
        </w:trPr>
        <w:tc>
          <w:tcPr>
            <w:tcW w:w="6200" w:type="dxa"/>
            <w:vAlign w:val="bottom"/>
          </w:tcPr>
          <w:p>
            <w:pPr>
              <w:spacing w:after="0"/>
              <w:rPr>
                <w:sz w:val="20"/>
                <w:szCs w:val="20"/>
                <w:color w:val="auto"/>
              </w:rPr>
            </w:pPr>
            <w:r>
              <w:rPr>
                <w:rFonts w:ascii="Arial" w:cs="Arial" w:eastAsia="Arial" w:hAnsi="Arial"/>
                <w:sz w:val="15"/>
                <w:szCs w:val="15"/>
                <w:b w:val="1"/>
                <w:bCs w:val="1"/>
                <w:color w:val="00304D"/>
              </w:rPr>
              <w:t>Annex A - Non-GAAP Financial Measures</w:t>
            </w:r>
          </w:p>
        </w:tc>
        <w:tc>
          <w:tcPr>
            <w:tcW w:w="680" w:type="dxa"/>
            <w:vAlign w:val="bottom"/>
          </w:tcPr>
          <w:p>
            <w:pPr>
              <w:jc w:val="right"/>
              <w:ind w:right="224"/>
              <w:spacing w:after="0"/>
              <w:rPr>
                <w:sz w:val="20"/>
                <w:szCs w:val="20"/>
                <w:color w:val="auto"/>
              </w:rPr>
            </w:pPr>
            <w:r>
              <w:rPr>
                <w:rFonts w:ascii="Arial" w:cs="Arial" w:eastAsia="Arial" w:hAnsi="Arial"/>
                <w:sz w:val="15"/>
                <w:szCs w:val="15"/>
                <w:b w:val="1"/>
                <w:bCs w:val="1"/>
                <w:color w:val="00304D"/>
              </w:rPr>
              <w:t>60</w:t>
            </w:r>
          </w:p>
        </w:tc>
        <w:tc>
          <w:tcPr>
            <w:tcW w:w="260" w:type="dxa"/>
            <w:vAlign w:val="bottom"/>
          </w:tcPr>
          <w:p>
            <w:pPr>
              <w:spacing w:after="0"/>
              <w:rPr>
                <w:sz w:val="24"/>
                <w:szCs w:val="24"/>
                <w:color w:val="auto"/>
              </w:rPr>
            </w:pPr>
          </w:p>
        </w:tc>
      </w:tr>
      <w:tr>
        <w:trPr>
          <w:trHeight w:val="371"/>
        </w:trPr>
        <w:tc>
          <w:tcPr>
            <w:tcW w:w="6880" w:type="dxa"/>
            <w:vAlign w:val="bottom"/>
            <w:gridSpan w:val="2"/>
          </w:tcPr>
          <w:p>
            <w:pPr>
              <w:ind w:left="4860"/>
              <w:spacing w:after="0"/>
              <w:rPr>
                <w:sz w:val="20"/>
                <w:szCs w:val="20"/>
                <w:color w:val="auto"/>
              </w:rPr>
            </w:pPr>
            <w:r>
              <w:rPr>
                <w:rFonts w:ascii="Arial" w:cs="Arial" w:eastAsia="Arial" w:hAnsi="Arial"/>
                <w:sz w:val="15"/>
                <w:szCs w:val="15"/>
                <w:color w:val="00304D"/>
              </w:rPr>
              <w:t>2026 PROXY STATEMENT</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00304D"/>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129540</wp:posOffset>
            </wp:positionV>
            <wp:extent cx="7141210" cy="31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-2233295</wp:posOffset>
            </wp:positionH>
            <wp:positionV relativeFrom="paragraph">
              <wp:posOffset>-7363460</wp:posOffset>
            </wp:positionV>
            <wp:extent cx="6411595" cy="2164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1595" cy="2164080"/>
                    </a:xfrm>
                    <a:prstGeom prst="rect">
                      <a:avLst/>
                    </a:prstGeom>
                    <a:noFill/>
                  </pic:spPr>
                </pic:pic>
              </a:graphicData>
            </a:graphic>
          </wp:anchor>
        </w:drawing>
        <w:drawing>
          <wp:anchor simplePos="0" relativeHeight="251657728" behindDoc="1" locked="0" layoutInCell="0" allowOverlap="1">
            <wp:simplePos x="0" y="0"/>
            <wp:positionH relativeFrom="column">
              <wp:posOffset>2390140</wp:posOffset>
            </wp:positionH>
            <wp:positionV relativeFrom="paragraph">
              <wp:posOffset>-133985</wp:posOffset>
            </wp:positionV>
            <wp:extent cx="641350" cy="1041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350" cy="104140"/>
                    </a:xfrm>
                    <a:prstGeom prst="rect">
                      <a:avLst/>
                    </a:prstGeom>
                    <a:noFill/>
                  </pic:spPr>
                </pic:pic>
              </a:graphicData>
            </a:graphic>
          </wp:anchor>
        </w:drawing>
      </w:r>
    </w:p>
    <w:p>
      <w:pPr>
        <w:sectPr>
          <w:pgSz w:w="11900" w:h="16838" w:orient="portrait"/>
          <w:cols w:equalWidth="0" w:num="2">
            <w:col w:w="2580" w:space="600"/>
            <w:col w:w="7140"/>
          </w:cols>
          <w:pgMar w:left="1240" w:top="1440" w:right="33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0" w:lineRule="exact"/>
        <w:rPr>
          <w:sz w:val="20"/>
          <w:szCs w:val="20"/>
          <w:color w:val="auto"/>
        </w:rPr>
      </w:pPr>
    </w:p>
    <w:p>
      <w:pPr>
        <w:spacing w:after="0"/>
        <w:rPr>
          <w:sz w:val="20"/>
          <w:szCs w:val="20"/>
          <w:color w:val="auto"/>
        </w:rPr>
      </w:pPr>
      <w:r>
        <w:rPr>
          <w:rFonts w:ascii="Arial" w:cs="Arial" w:eastAsia="Arial" w:hAnsi="Arial"/>
          <w:sz w:val="34"/>
          <w:szCs w:val="34"/>
          <w:b w:val="1"/>
          <w:bCs w:val="1"/>
          <w:color w:val="00304D"/>
        </w:rPr>
        <w:t>Proxy Summary</w:t>
      </w:r>
    </w:p>
    <w:p>
      <w:pPr>
        <w:spacing w:after="0" w:line="200" w:lineRule="exact"/>
        <w:rPr>
          <w:sz w:val="20"/>
          <w:szCs w:val="20"/>
          <w:color w:val="auto"/>
        </w:rPr>
      </w:pP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265E7C"/>
        </w:rPr>
        <w:t>THIS SUMMARY HIGHLIGHTS CERTAIN INFORMATION FROM THIS PROXY STATEMENT, BUT DOES NOT CONTAIN ALL THE INFORMATION THAT YOU SHOULD CONSIDER. PLEASE READ THE ENTIRE PROXY STATEMENT BEFORE VOTING YOUR SHARES. FOR MORE COMPLETE INFORMATION REGARDING MIDDLEBY’S 2025 PERFORMANCE, PLEASE REVIEW OUR ANNUAL REPORT ON FORM 10-K FOR THE FISCAL YEAR ENDED JANUARY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109220</wp:posOffset>
            </wp:positionV>
            <wp:extent cx="456565" cy="440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6565" cy="440690"/>
                    </a:xfrm>
                    <a:prstGeom prst="rect">
                      <a:avLst/>
                    </a:prstGeom>
                    <a:noFill/>
                  </pic:spPr>
                </pic:pic>
              </a:graphicData>
            </a:graphic>
          </wp:anchor>
        </w:drawing>
        <w:drawing>
          <wp:anchor simplePos="0" relativeHeight="251657728" behindDoc="1" locked="0" layoutInCell="0" allowOverlap="1">
            <wp:simplePos x="0" y="0"/>
            <wp:positionH relativeFrom="column">
              <wp:posOffset>3663315</wp:posOffset>
            </wp:positionH>
            <wp:positionV relativeFrom="paragraph">
              <wp:posOffset>109220</wp:posOffset>
            </wp:positionV>
            <wp:extent cx="456565" cy="4489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6565" cy="448945"/>
                    </a:xfrm>
                    <a:prstGeom prst="rect">
                      <a:avLst/>
                    </a:prstGeom>
                    <a:noFill/>
                  </pic:spPr>
                </pic:pic>
              </a:graphicData>
            </a:graphic>
          </wp:anchor>
        </w:drawing>
        <w:drawing>
          <wp:anchor simplePos="0" relativeHeight="251657728" behindDoc="1" locked="0" layoutInCell="0" allowOverlap="1">
            <wp:simplePos x="0" y="0"/>
            <wp:positionH relativeFrom="column">
              <wp:posOffset>5626735</wp:posOffset>
            </wp:positionH>
            <wp:positionV relativeFrom="paragraph">
              <wp:posOffset>109220</wp:posOffset>
            </wp:positionV>
            <wp:extent cx="456565" cy="440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6565" cy="440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400" w:type="dxa"/>
            <w:vAlign w:val="bottom"/>
          </w:tcPr>
          <w:p>
            <w:pPr>
              <w:jc w:val="center"/>
              <w:ind w:right="664"/>
              <w:spacing w:after="0"/>
              <w:rPr>
                <w:sz w:val="20"/>
                <w:szCs w:val="20"/>
                <w:color w:val="auto"/>
              </w:rPr>
            </w:pPr>
            <w:r>
              <w:rPr>
                <w:rFonts w:ascii="Arial" w:cs="Arial" w:eastAsia="Arial" w:hAnsi="Arial"/>
                <w:sz w:val="15"/>
                <w:szCs w:val="15"/>
                <w:b w:val="1"/>
                <w:bCs w:val="1"/>
                <w:color w:val="00304D"/>
              </w:rPr>
              <w:t>WHEN</w:t>
            </w:r>
          </w:p>
        </w:tc>
        <w:tc>
          <w:tcPr>
            <w:tcW w:w="3920" w:type="dxa"/>
            <w:vAlign w:val="bottom"/>
          </w:tcPr>
          <w:p>
            <w:pPr>
              <w:jc w:val="center"/>
              <w:ind w:left="64"/>
              <w:spacing w:after="0"/>
              <w:rPr>
                <w:sz w:val="20"/>
                <w:szCs w:val="20"/>
                <w:color w:val="auto"/>
              </w:rPr>
            </w:pPr>
            <w:r>
              <w:rPr>
                <w:rFonts w:ascii="Arial" w:cs="Arial" w:eastAsia="Arial" w:hAnsi="Arial"/>
                <w:sz w:val="15"/>
                <w:szCs w:val="15"/>
                <w:b w:val="1"/>
                <w:bCs w:val="1"/>
                <w:color w:val="265E7C"/>
              </w:rPr>
              <w:t>WHERE</w:t>
            </w:r>
          </w:p>
        </w:tc>
        <w:tc>
          <w:tcPr>
            <w:tcW w:w="1760" w:type="dxa"/>
            <w:vAlign w:val="bottom"/>
          </w:tcPr>
          <w:p>
            <w:pPr>
              <w:ind w:left="660"/>
              <w:spacing w:after="0"/>
              <w:rPr>
                <w:sz w:val="20"/>
                <w:szCs w:val="20"/>
                <w:color w:val="auto"/>
              </w:rPr>
            </w:pPr>
            <w:r>
              <w:rPr>
                <w:rFonts w:ascii="Arial" w:cs="Arial" w:eastAsia="Arial" w:hAnsi="Arial"/>
                <w:sz w:val="15"/>
                <w:szCs w:val="15"/>
                <w:b w:val="1"/>
                <w:bCs w:val="1"/>
                <w:color w:val="7496AF"/>
                <w:w w:val="98"/>
              </w:rPr>
              <w:t>RECORD DATE</w:t>
            </w:r>
          </w:p>
        </w:tc>
      </w:tr>
      <w:tr>
        <w:trPr>
          <w:trHeight w:val="197"/>
        </w:trPr>
        <w:tc>
          <w:tcPr>
            <w:tcW w:w="2400" w:type="dxa"/>
            <w:vAlign w:val="bottom"/>
          </w:tcPr>
          <w:p>
            <w:pPr>
              <w:jc w:val="center"/>
              <w:ind w:right="724"/>
              <w:spacing w:after="0"/>
              <w:rPr>
                <w:sz w:val="20"/>
                <w:szCs w:val="20"/>
                <w:color w:val="auto"/>
              </w:rPr>
            </w:pPr>
            <w:r>
              <w:rPr>
                <w:rFonts w:ascii="Arial" w:cs="Arial" w:eastAsia="Arial" w:hAnsi="Arial"/>
                <w:sz w:val="15"/>
                <w:szCs w:val="15"/>
                <w:color w:val="auto"/>
                <w:w w:val="99"/>
              </w:rPr>
              <w:t>Tuesday, May 19, 2026,</w:t>
            </w:r>
          </w:p>
        </w:tc>
        <w:tc>
          <w:tcPr>
            <w:tcW w:w="3920" w:type="dxa"/>
            <w:vAlign w:val="bottom"/>
          </w:tcPr>
          <w:p>
            <w:pPr>
              <w:jc w:val="center"/>
              <w:ind w:left="64"/>
              <w:spacing w:after="0"/>
              <w:rPr>
                <w:sz w:val="20"/>
                <w:szCs w:val="20"/>
                <w:color w:val="auto"/>
              </w:rPr>
            </w:pPr>
            <w:r>
              <w:rPr>
                <w:rFonts w:ascii="Arial" w:cs="Arial" w:eastAsia="Arial" w:hAnsi="Arial"/>
                <w:sz w:val="15"/>
                <w:szCs w:val="15"/>
                <w:color w:val="auto"/>
              </w:rPr>
              <w:t>Virtual Meeting</w:t>
            </w:r>
          </w:p>
        </w:tc>
        <w:tc>
          <w:tcPr>
            <w:tcW w:w="1760" w:type="dxa"/>
            <w:vAlign w:val="bottom"/>
          </w:tcPr>
          <w:p>
            <w:pPr>
              <w:ind w:left="680"/>
              <w:spacing w:after="0"/>
              <w:rPr>
                <w:sz w:val="20"/>
                <w:szCs w:val="20"/>
                <w:color w:val="auto"/>
              </w:rPr>
            </w:pPr>
            <w:r>
              <w:rPr>
                <w:rFonts w:ascii="Arial" w:cs="Arial" w:eastAsia="Arial" w:hAnsi="Arial"/>
                <w:sz w:val="15"/>
                <w:szCs w:val="15"/>
                <w:color w:val="auto"/>
              </w:rPr>
              <w:t>March 20, 2026</w:t>
            </w:r>
          </w:p>
        </w:tc>
      </w:tr>
      <w:tr>
        <w:trPr>
          <w:trHeight w:val="177"/>
        </w:trPr>
        <w:tc>
          <w:tcPr>
            <w:tcW w:w="2400" w:type="dxa"/>
            <w:vAlign w:val="bottom"/>
          </w:tcPr>
          <w:p>
            <w:pPr>
              <w:jc w:val="center"/>
              <w:ind w:right="664"/>
              <w:spacing w:after="0"/>
              <w:rPr>
                <w:sz w:val="20"/>
                <w:szCs w:val="20"/>
                <w:color w:val="auto"/>
              </w:rPr>
            </w:pPr>
            <w:r>
              <w:rPr>
                <w:rFonts w:ascii="Arial" w:cs="Arial" w:eastAsia="Arial" w:hAnsi="Arial"/>
                <w:sz w:val="15"/>
                <w:szCs w:val="15"/>
                <w:color w:val="auto"/>
              </w:rPr>
              <w:t>at 3:00 p.m. (CDT)</w:t>
            </w:r>
          </w:p>
        </w:tc>
        <w:tc>
          <w:tcPr>
            <w:tcW w:w="3920" w:type="dxa"/>
            <w:vAlign w:val="bottom"/>
          </w:tcPr>
          <w:p>
            <w:pPr>
              <w:jc w:val="center"/>
              <w:ind w:left="64"/>
              <w:spacing w:after="0"/>
              <w:rPr>
                <w:sz w:val="20"/>
                <w:szCs w:val="20"/>
                <w:color w:val="auto"/>
              </w:rPr>
            </w:pPr>
            <w:r>
              <w:rPr>
                <w:rFonts w:ascii="Arial" w:cs="Arial" w:eastAsia="Arial" w:hAnsi="Arial"/>
                <w:sz w:val="15"/>
                <w:szCs w:val="15"/>
                <w:color w:val="auto"/>
              </w:rPr>
              <w:t>www.virtualshareholdermeeting.com/</w:t>
            </w:r>
          </w:p>
        </w:tc>
        <w:tc>
          <w:tcPr>
            <w:tcW w:w="1760" w:type="dxa"/>
            <w:vAlign w:val="bottom"/>
          </w:tcPr>
          <w:p>
            <w:pPr>
              <w:spacing w:after="0"/>
              <w:rPr>
                <w:sz w:val="15"/>
                <w:szCs w:val="15"/>
                <w:color w:val="auto"/>
              </w:rPr>
            </w:pPr>
          </w:p>
        </w:tc>
      </w:tr>
      <w:tr>
        <w:trPr>
          <w:trHeight w:val="199"/>
        </w:trPr>
        <w:tc>
          <w:tcPr>
            <w:tcW w:w="2400" w:type="dxa"/>
            <w:vAlign w:val="bottom"/>
          </w:tcPr>
          <w:p>
            <w:pPr>
              <w:spacing w:after="0"/>
              <w:rPr>
                <w:sz w:val="17"/>
                <w:szCs w:val="17"/>
                <w:color w:val="auto"/>
              </w:rPr>
            </w:pPr>
          </w:p>
        </w:tc>
        <w:tc>
          <w:tcPr>
            <w:tcW w:w="3920" w:type="dxa"/>
            <w:vAlign w:val="bottom"/>
          </w:tcPr>
          <w:p>
            <w:pPr>
              <w:jc w:val="center"/>
              <w:ind w:left="64"/>
              <w:spacing w:after="0"/>
              <w:rPr>
                <w:sz w:val="20"/>
                <w:szCs w:val="20"/>
                <w:color w:val="auto"/>
              </w:rPr>
            </w:pPr>
            <w:r>
              <w:rPr>
                <w:rFonts w:ascii="Arial" w:cs="Arial" w:eastAsia="Arial" w:hAnsi="Arial"/>
                <w:sz w:val="15"/>
                <w:szCs w:val="15"/>
                <w:color w:val="auto"/>
              </w:rPr>
              <w:t>MIDD2026</w:t>
            </w:r>
          </w:p>
        </w:tc>
        <w:tc>
          <w:tcPr>
            <w:tcW w:w="1760" w:type="dxa"/>
            <w:vAlign w:val="bottom"/>
          </w:tcPr>
          <w:p>
            <w:pPr>
              <w:spacing w:after="0"/>
              <w:rPr>
                <w:sz w:val="17"/>
                <w:szCs w:val="17"/>
                <w:color w:val="auto"/>
              </w:rPr>
            </w:pPr>
          </w:p>
        </w:tc>
      </w:tr>
    </w:tbl>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Meeting Agenda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540" w:type="dxa"/>
            <w:vAlign w:val="bottom"/>
          </w:tcPr>
          <w:p>
            <w:pPr>
              <w:spacing w:after="0"/>
              <w:rPr>
                <w:sz w:val="20"/>
                <w:szCs w:val="20"/>
                <w:color w:val="auto"/>
              </w:rPr>
            </w:pPr>
            <w:r>
              <w:rPr>
                <w:rFonts w:ascii="Arial" w:cs="Arial" w:eastAsia="Arial" w:hAnsi="Arial"/>
                <w:sz w:val="15"/>
                <w:szCs w:val="15"/>
                <w:color w:val="auto"/>
              </w:rPr>
              <w:t>The matters we will act upon at the Annual Meeting are:</w:t>
            </w:r>
          </w:p>
        </w:tc>
        <w:tc>
          <w:tcPr>
            <w:tcW w:w="17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7540" w:type="dxa"/>
            <w:vAlign w:val="bottom"/>
          </w:tcPr>
          <w:p>
            <w:pPr>
              <w:spacing w:after="0"/>
              <w:rPr>
                <w:sz w:val="24"/>
                <w:szCs w:val="24"/>
                <w:color w:val="auto"/>
              </w:rPr>
            </w:pPr>
          </w:p>
        </w:tc>
        <w:tc>
          <w:tcPr>
            <w:tcW w:w="1780" w:type="dxa"/>
            <w:vAlign w:val="bottom"/>
          </w:tcPr>
          <w:p>
            <w:pPr>
              <w:ind w:left="80"/>
              <w:spacing w:after="0"/>
              <w:rPr>
                <w:sz w:val="20"/>
                <w:szCs w:val="20"/>
                <w:color w:val="auto"/>
              </w:rPr>
            </w:pPr>
            <w:r>
              <w:rPr>
                <w:rFonts w:ascii="Arial" w:cs="Arial" w:eastAsia="Arial" w:hAnsi="Arial"/>
                <w:sz w:val="15"/>
                <w:szCs w:val="15"/>
                <w:b w:val="1"/>
                <w:bCs w:val="1"/>
                <w:color w:val="00304D"/>
              </w:rPr>
              <w:t>Board voting</w:t>
            </w:r>
          </w:p>
        </w:tc>
        <w:tc>
          <w:tcPr>
            <w:tcW w:w="1920" w:type="dxa"/>
            <w:vAlign w:val="bottom"/>
          </w:tcPr>
          <w:p>
            <w:pPr>
              <w:jc w:val="center"/>
              <w:ind w:left="44"/>
              <w:spacing w:after="0"/>
              <w:rPr>
                <w:sz w:val="20"/>
                <w:szCs w:val="20"/>
                <w:color w:val="auto"/>
              </w:rPr>
            </w:pPr>
            <w:r>
              <w:rPr>
                <w:rFonts w:ascii="Arial" w:cs="Arial" w:eastAsia="Arial" w:hAnsi="Arial"/>
                <w:sz w:val="15"/>
                <w:szCs w:val="15"/>
                <w:b w:val="1"/>
                <w:bCs w:val="1"/>
                <w:color w:val="00304D"/>
              </w:rPr>
              <w:t>Where to find</w:t>
            </w:r>
          </w:p>
        </w:tc>
        <w:tc>
          <w:tcPr>
            <w:tcW w:w="0" w:type="dxa"/>
            <w:vAlign w:val="bottom"/>
          </w:tcPr>
          <w:p>
            <w:pPr>
              <w:spacing w:after="0"/>
              <w:rPr>
                <w:sz w:val="1"/>
                <w:szCs w:val="1"/>
                <w:color w:val="auto"/>
              </w:rPr>
            </w:pPr>
          </w:p>
        </w:tc>
      </w:tr>
      <w:tr>
        <w:trPr>
          <w:trHeight w:val="202"/>
        </w:trPr>
        <w:tc>
          <w:tcPr>
            <w:tcW w:w="7540" w:type="dxa"/>
            <w:vAlign w:val="bottom"/>
            <w:tcBorders>
              <w:bottom w:val="single" w:sz="8" w:color="00304D"/>
            </w:tcBorders>
          </w:tcPr>
          <w:p>
            <w:pPr>
              <w:ind w:left="60"/>
              <w:spacing w:after="0"/>
              <w:rPr>
                <w:sz w:val="20"/>
                <w:szCs w:val="20"/>
                <w:color w:val="auto"/>
              </w:rPr>
            </w:pPr>
            <w:r>
              <w:rPr>
                <w:rFonts w:ascii="Arial" w:cs="Arial" w:eastAsia="Arial" w:hAnsi="Arial"/>
                <w:sz w:val="15"/>
                <w:szCs w:val="15"/>
                <w:b w:val="1"/>
                <w:bCs w:val="1"/>
                <w:color w:val="265E7C"/>
              </w:rPr>
              <w:t>Proposal</w:t>
            </w:r>
          </w:p>
        </w:tc>
        <w:tc>
          <w:tcPr>
            <w:tcW w:w="1780" w:type="dxa"/>
            <w:vAlign w:val="bottom"/>
            <w:tcBorders>
              <w:bottom w:val="single" w:sz="8" w:color="00304D"/>
            </w:tcBorders>
          </w:tcPr>
          <w:p>
            <w:pPr>
              <w:ind w:left="80"/>
              <w:spacing w:after="0"/>
              <w:rPr>
                <w:sz w:val="20"/>
                <w:szCs w:val="20"/>
                <w:color w:val="auto"/>
              </w:rPr>
            </w:pPr>
            <w:r>
              <w:rPr>
                <w:rFonts w:ascii="Arial" w:cs="Arial" w:eastAsia="Arial" w:hAnsi="Arial"/>
                <w:sz w:val="15"/>
                <w:szCs w:val="15"/>
                <w:b w:val="1"/>
                <w:bCs w:val="1"/>
                <w:color w:val="00304D"/>
              </w:rPr>
              <w:t>recommendation</w:t>
            </w:r>
          </w:p>
        </w:tc>
        <w:tc>
          <w:tcPr>
            <w:tcW w:w="1920" w:type="dxa"/>
            <w:vAlign w:val="bottom"/>
            <w:tcBorders>
              <w:bottom w:val="single" w:sz="8" w:color="00304D"/>
            </w:tcBorders>
          </w:tcPr>
          <w:p>
            <w:pPr>
              <w:jc w:val="center"/>
              <w:ind w:left="84"/>
              <w:spacing w:after="0"/>
              <w:rPr>
                <w:sz w:val="20"/>
                <w:szCs w:val="20"/>
                <w:color w:val="auto"/>
              </w:rPr>
            </w:pPr>
            <w:r>
              <w:rPr>
                <w:rFonts w:ascii="Arial" w:cs="Arial" w:eastAsia="Arial" w:hAnsi="Arial"/>
                <w:sz w:val="15"/>
                <w:szCs w:val="15"/>
                <w:b w:val="1"/>
                <w:bCs w:val="1"/>
                <w:color w:val="00304D"/>
              </w:rPr>
              <w:t>more information</w:t>
            </w:r>
          </w:p>
        </w:tc>
        <w:tc>
          <w:tcPr>
            <w:tcW w:w="0" w:type="dxa"/>
            <w:vAlign w:val="bottom"/>
          </w:tcPr>
          <w:p>
            <w:pPr>
              <w:spacing w:after="0"/>
              <w:rPr>
                <w:sz w:val="1"/>
                <w:szCs w:val="1"/>
                <w:color w:val="auto"/>
              </w:rPr>
            </w:pPr>
          </w:p>
        </w:tc>
      </w:tr>
      <w:tr>
        <w:trPr>
          <w:trHeight w:val="170"/>
        </w:trPr>
        <w:tc>
          <w:tcPr>
            <w:tcW w:w="7540" w:type="dxa"/>
            <w:vAlign w:val="bottom"/>
            <w:vMerge w:val="restart"/>
          </w:tcPr>
          <w:p>
            <w:pPr>
              <w:ind w:left="400"/>
              <w:spacing w:after="0"/>
              <w:rPr>
                <w:sz w:val="20"/>
                <w:szCs w:val="20"/>
                <w:color w:val="auto"/>
              </w:rPr>
            </w:pPr>
            <w:r>
              <w:rPr>
                <w:rFonts w:ascii="Arial" w:cs="Arial" w:eastAsia="Arial" w:hAnsi="Arial"/>
                <w:sz w:val="15"/>
                <w:szCs w:val="15"/>
                <w:b w:val="1"/>
                <w:bCs w:val="1"/>
                <w:color w:val="00304D"/>
              </w:rPr>
              <w:t>Elect eleven directors for a one-year term</w:t>
            </w:r>
          </w:p>
        </w:tc>
        <w:tc>
          <w:tcPr>
            <w:tcW w:w="1780" w:type="dxa"/>
            <w:vAlign w:val="bottom"/>
          </w:tcPr>
          <w:p>
            <w:pPr>
              <w:ind w:left="420"/>
              <w:spacing w:after="0" w:line="170" w:lineRule="exact"/>
              <w:rPr>
                <w:sz w:val="20"/>
                <w:szCs w:val="20"/>
                <w:color w:val="auto"/>
              </w:rPr>
            </w:pPr>
            <w:r>
              <w:rPr>
                <w:rFonts w:ascii="Arial" w:cs="Arial" w:eastAsia="Arial" w:hAnsi="Arial"/>
                <w:sz w:val="15"/>
                <w:szCs w:val="15"/>
                <w:b w:val="1"/>
                <w:bCs w:val="1"/>
                <w:color w:val="265E7C"/>
              </w:rPr>
              <w:t>FOR</w:t>
            </w:r>
          </w:p>
        </w:tc>
        <w:tc>
          <w:tcPr>
            <w:tcW w:w="1920" w:type="dxa"/>
            <w:vAlign w:val="bottom"/>
            <w:vMerge w:val="restart"/>
          </w:tcPr>
          <w:p>
            <w:pPr>
              <w:jc w:val="center"/>
              <w:ind w:left="84"/>
              <w:spacing w:after="0"/>
              <w:rPr>
                <w:sz w:val="20"/>
                <w:szCs w:val="20"/>
                <w:color w:val="auto"/>
              </w:rPr>
            </w:pPr>
            <w:r>
              <w:rPr>
                <w:rFonts w:ascii="Arial" w:cs="Arial" w:eastAsia="Arial" w:hAnsi="Arial"/>
                <w:sz w:val="15"/>
                <w:szCs w:val="15"/>
                <w:color w:val="00304D"/>
              </w:rPr>
              <w:t>Page 16</w:t>
            </w:r>
          </w:p>
        </w:tc>
        <w:tc>
          <w:tcPr>
            <w:tcW w:w="0" w:type="dxa"/>
            <w:vAlign w:val="bottom"/>
          </w:tcPr>
          <w:p>
            <w:pPr>
              <w:spacing w:after="0"/>
              <w:rPr>
                <w:sz w:val="1"/>
                <w:szCs w:val="1"/>
                <w:color w:val="auto"/>
              </w:rPr>
            </w:pPr>
          </w:p>
        </w:tc>
      </w:tr>
      <w:tr>
        <w:trPr>
          <w:trHeight w:val="119"/>
        </w:trPr>
        <w:tc>
          <w:tcPr>
            <w:tcW w:w="7540" w:type="dxa"/>
            <w:vAlign w:val="bottom"/>
            <w:vMerge w:val="continue"/>
          </w:tcPr>
          <w:p>
            <w:pPr>
              <w:spacing w:after="0"/>
              <w:rPr>
                <w:sz w:val="10"/>
                <w:szCs w:val="10"/>
                <w:color w:val="auto"/>
              </w:rPr>
            </w:pPr>
          </w:p>
        </w:tc>
        <w:tc>
          <w:tcPr>
            <w:tcW w:w="1780" w:type="dxa"/>
            <w:vAlign w:val="bottom"/>
            <w:vMerge w:val="restart"/>
          </w:tcPr>
          <w:p>
            <w:pPr>
              <w:ind w:left="420"/>
              <w:spacing w:after="0"/>
              <w:rPr>
                <w:sz w:val="20"/>
                <w:szCs w:val="20"/>
                <w:color w:val="auto"/>
              </w:rPr>
            </w:pPr>
            <w:r>
              <w:rPr>
                <w:rFonts w:ascii="Arial" w:cs="Arial" w:eastAsia="Arial" w:hAnsi="Arial"/>
                <w:sz w:val="15"/>
                <w:szCs w:val="15"/>
                <w:color w:val="00304D"/>
              </w:rPr>
              <w:t>each nominee</w:t>
            </w:r>
          </w:p>
        </w:tc>
        <w:tc>
          <w:tcPr>
            <w:tcW w:w="1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7540" w:type="dxa"/>
            <w:vAlign w:val="bottom"/>
            <w:tcBorders>
              <w:bottom w:val="single" w:sz="8" w:color="00304D"/>
            </w:tcBorders>
          </w:tcPr>
          <w:p>
            <w:pPr>
              <w:spacing w:after="0"/>
              <w:rPr>
                <w:sz w:val="7"/>
                <w:szCs w:val="7"/>
                <w:color w:val="auto"/>
              </w:rPr>
            </w:pPr>
          </w:p>
        </w:tc>
        <w:tc>
          <w:tcPr>
            <w:tcW w:w="1780" w:type="dxa"/>
            <w:vAlign w:val="bottom"/>
            <w:tcBorders>
              <w:bottom w:val="single" w:sz="8" w:color="00304D"/>
            </w:tcBorders>
            <w:vMerge w:val="continue"/>
          </w:tcPr>
          <w:p>
            <w:pPr>
              <w:spacing w:after="0"/>
              <w:rPr>
                <w:sz w:val="7"/>
                <w:szCs w:val="7"/>
                <w:color w:val="auto"/>
              </w:rPr>
            </w:pPr>
          </w:p>
        </w:tc>
        <w:tc>
          <w:tcPr>
            <w:tcW w:w="1920" w:type="dxa"/>
            <w:vAlign w:val="bottom"/>
            <w:tcBorders>
              <w:bottom w:val="single" w:sz="8" w:color="00304D"/>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7540" w:type="dxa"/>
            <w:vAlign w:val="bottom"/>
          </w:tcPr>
          <w:p>
            <w:pPr>
              <w:ind w:left="400"/>
              <w:spacing w:after="0"/>
              <w:rPr>
                <w:sz w:val="20"/>
                <w:szCs w:val="20"/>
                <w:color w:val="auto"/>
              </w:rPr>
            </w:pPr>
            <w:r>
              <w:rPr>
                <w:rFonts w:ascii="Arial" w:cs="Arial" w:eastAsia="Arial" w:hAnsi="Arial"/>
                <w:sz w:val="15"/>
                <w:szCs w:val="15"/>
                <w:b w:val="1"/>
                <w:bCs w:val="1"/>
                <w:color w:val="00304D"/>
              </w:rPr>
              <w:t>Approve, on an advisory basis, the compensation of Middleby’s named executive officers</w:t>
            </w:r>
          </w:p>
        </w:tc>
        <w:tc>
          <w:tcPr>
            <w:tcW w:w="1780" w:type="dxa"/>
            <w:vAlign w:val="bottom"/>
          </w:tcPr>
          <w:p>
            <w:pPr>
              <w:ind w:left="420"/>
              <w:spacing w:after="0"/>
              <w:rPr>
                <w:sz w:val="20"/>
                <w:szCs w:val="20"/>
                <w:color w:val="auto"/>
              </w:rPr>
            </w:pPr>
            <w:r>
              <w:rPr>
                <w:rFonts w:ascii="Arial" w:cs="Arial" w:eastAsia="Arial" w:hAnsi="Arial"/>
                <w:sz w:val="15"/>
                <w:szCs w:val="15"/>
                <w:b w:val="1"/>
                <w:bCs w:val="1"/>
                <w:color w:val="265E7C"/>
              </w:rPr>
              <w:t>FOR</w:t>
            </w:r>
          </w:p>
        </w:tc>
        <w:tc>
          <w:tcPr>
            <w:tcW w:w="1920" w:type="dxa"/>
            <w:vAlign w:val="bottom"/>
          </w:tcPr>
          <w:p>
            <w:pPr>
              <w:jc w:val="center"/>
              <w:ind w:left="84"/>
              <w:spacing w:after="0"/>
              <w:rPr>
                <w:sz w:val="20"/>
                <w:szCs w:val="20"/>
                <w:color w:val="auto"/>
              </w:rPr>
            </w:pPr>
            <w:r>
              <w:rPr>
                <w:rFonts w:ascii="Arial" w:cs="Arial" w:eastAsia="Arial" w:hAnsi="Arial"/>
                <w:sz w:val="15"/>
                <w:szCs w:val="15"/>
                <w:color w:val="00304D"/>
              </w:rPr>
              <w:t>Page 32</w:t>
            </w:r>
          </w:p>
        </w:tc>
        <w:tc>
          <w:tcPr>
            <w:tcW w:w="0" w:type="dxa"/>
            <w:vAlign w:val="bottom"/>
          </w:tcPr>
          <w:p>
            <w:pPr>
              <w:spacing w:after="0"/>
              <w:rPr>
                <w:sz w:val="1"/>
                <w:szCs w:val="1"/>
                <w:color w:val="auto"/>
              </w:rPr>
            </w:pPr>
          </w:p>
        </w:tc>
      </w:tr>
      <w:tr>
        <w:trPr>
          <w:trHeight w:val="58"/>
        </w:trPr>
        <w:tc>
          <w:tcPr>
            <w:tcW w:w="7540" w:type="dxa"/>
            <w:vAlign w:val="bottom"/>
            <w:tcBorders>
              <w:bottom w:val="single" w:sz="8" w:color="00304D"/>
            </w:tcBorders>
          </w:tcPr>
          <w:p>
            <w:pPr>
              <w:spacing w:after="0"/>
              <w:rPr>
                <w:sz w:val="5"/>
                <w:szCs w:val="5"/>
                <w:color w:val="auto"/>
              </w:rPr>
            </w:pPr>
          </w:p>
        </w:tc>
        <w:tc>
          <w:tcPr>
            <w:tcW w:w="1780" w:type="dxa"/>
            <w:vAlign w:val="bottom"/>
            <w:tcBorders>
              <w:bottom w:val="single" w:sz="8" w:color="00304D"/>
            </w:tcBorders>
          </w:tcPr>
          <w:p>
            <w:pPr>
              <w:spacing w:after="0"/>
              <w:rPr>
                <w:sz w:val="5"/>
                <w:szCs w:val="5"/>
                <w:color w:val="auto"/>
              </w:rPr>
            </w:pPr>
          </w:p>
        </w:tc>
        <w:tc>
          <w:tcPr>
            <w:tcW w:w="1920" w:type="dxa"/>
            <w:vAlign w:val="bottom"/>
            <w:tcBorders>
              <w:bottom w:val="single" w:sz="8" w:color="00304D"/>
            </w:tcBorders>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7540" w:type="dxa"/>
            <w:vAlign w:val="bottom"/>
          </w:tcPr>
          <w:p>
            <w:pPr>
              <w:ind w:left="400"/>
              <w:spacing w:after="0" w:line="170" w:lineRule="exact"/>
              <w:rPr>
                <w:sz w:val="20"/>
                <w:szCs w:val="20"/>
                <w:color w:val="auto"/>
              </w:rPr>
            </w:pPr>
            <w:r>
              <w:rPr>
                <w:rFonts w:ascii="Arial" w:cs="Arial" w:eastAsia="Arial" w:hAnsi="Arial"/>
                <w:sz w:val="15"/>
                <w:szCs w:val="15"/>
                <w:b w:val="1"/>
                <w:bCs w:val="1"/>
                <w:color w:val="00304D"/>
              </w:rPr>
              <w:t>Ratify the selection of Ernst &amp; Young LLP as Middleby’s independent registered public accounting</w:t>
            </w:r>
          </w:p>
        </w:tc>
        <w:tc>
          <w:tcPr>
            <w:tcW w:w="1780" w:type="dxa"/>
            <w:vAlign w:val="bottom"/>
            <w:vMerge w:val="restart"/>
          </w:tcPr>
          <w:p>
            <w:pPr>
              <w:ind w:left="420"/>
              <w:spacing w:after="0"/>
              <w:rPr>
                <w:sz w:val="20"/>
                <w:szCs w:val="20"/>
                <w:color w:val="auto"/>
              </w:rPr>
            </w:pPr>
            <w:r>
              <w:rPr>
                <w:rFonts w:ascii="Arial" w:cs="Arial" w:eastAsia="Arial" w:hAnsi="Arial"/>
                <w:sz w:val="15"/>
                <w:szCs w:val="15"/>
                <w:b w:val="1"/>
                <w:bCs w:val="1"/>
                <w:color w:val="265E7C"/>
              </w:rPr>
              <w:t>FOR</w:t>
            </w:r>
          </w:p>
        </w:tc>
        <w:tc>
          <w:tcPr>
            <w:tcW w:w="1920" w:type="dxa"/>
            <w:vAlign w:val="bottom"/>
            <w:vMerge w:val="restart"/>
          </w:tcPr>
          <w:p>
            <w:pPr>
              <w:jc w:val="center"/>
              <w:ind w:left="84"/>
              <w:spacing w:after="0"/>
              <w:rPr>
                <w:sz w:val="20"/>
                <w:szCs w:val="20"/>
                <w:color w:val="auto"/>
              </w:rPr>
            </w:pPr>
            <w:r>
              <w:rPr>
                <w:rFonts w:ascii="Arial" w:cs="Arial" w:eastAsia="Arial" w:hAnsi="Arial"/>
                <w:sz w:val="15"/>
                <w:szCs w:val="15"/>
                <w:color w:val="00304D"/>
              </w:rPr>
              <w:t>Page 56</w:t>
            </w:r>
          </w:p>
        </w:tc>
        <w:tc>
          <w:tcPr>
            <w:tcW w:w="0" w:type="dxa"/>
            <w:vAlign w:val="bottom"/>
          </w:tcPr>
          <w:p>
            <w:pPr>
              <w:spacing w:after="0"/>
              <w:rPr>
                <w:sz w:val="1"/>
                <w:szCs w:val="1"/>
                <w:color w:val="auto"/>
              </w:rPr>
            </w:pPr>
          </w:p>
        </w:tc>
      </w:tr>
      <w:tr>
        <w:trPr>
          <w:trHeight w:val="119"/>
        </w:trPr>
        <w:tc>
          <w:tcPr>
            <w:tcW w:w="7540" w:type="dxa"/>
            <w:vAlign w:val="bottom"/>
            <w:vMerge w:val="restart"/>
          </w:tcPr>
          <w:p>
            <w:pPr>
              <w:ind w:left="400"/>
              <w:spacing w:after="0"/>
              <w:rPr>
                <w:sz w:val="20"/>
                <w:szCs w:val="20"/>
                <w:color w:val="auto"/>
              </w:rPr>
            </w:pPr>
            <w:r>
              <w:rPr>
                <w:rFonts w:ascii="Arial" w:cs="Arial" w:eastAsia="Arial" w:hAnsi="Arial"/>
                <w:sz w:val="15"/>
                <w:szCs w:val="15"/>
                <w:b w:val="1"/>
                <w:bCs w:val="1"/>
                <w:color w:val="00304D"/>
              </w:rPr>
              <w:t>firm for fiscal year 2026</w:t>
            </w:r>
          </w:p>
        </w:tc>
        <w:tc>
          <w:tcPr>
            <w:tcW w:w="1780" w:type="dxa"/>
            <w:vAlign w:val="bottom"/>
            <w:vMerge w:val="continue"/>
          </w:tcPr>
          <w:p>
            <w:pPr>
              <w:spacing w:after="0"/>
              <w:rPr>
                <w:sz w:val="10"/>
                <w:szCs w:val="10"/>
                <w:color w:val="auto"/>
              </w:rPr>
            </w:pPr>
          </w:p>
        </w:tc>
        <w:tc>
          <w:tcPr>
            <w:tcW w:w="1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7540" w:type="dxa"/>
            <w:vAlign w:val="bottom"/>
            <w:tcBorders>
              <w:bottom w:val="single" w:sz="8" w:color="00304D"/>
            </w:tcBorders>
            <w:vMerge w:val="continue"/>
          </w:tcPr>
          <w:p>
            <w:pPr>
              <w:spacing w:after="0"/>
              <w:rPr>
                <w:sz w:val="7"/>
                <w:szCs w:val="7"/>
                <w:color w:val="auto"/>
              </w:rPr>
            </w:pPr>
          </w:p>
        </w:tc>
        <w:tc>
          <w:tcPr>
            <w:tcW w:w="1780" w:type="dxa"/>
            <w:vAlign w:val="bottom"/>
            <w:tcBorders>
              <w:bottom w:val="single" w:sz="8" w:color="00304D"/>
            </w:tcBorders>
          </w:tcPr>
          <w:p>
            <w:pPr>
              <w:spacing w:after="0"/>
              <w:rPr>
                <w:sz w:val="7"/>
                <w:szCs w:val="7"/>
                <w:color w:val="auto"/>
              </w:rPr>
            </w:pPr>
          </w:p>
        </w:tc>
        <w:tc>
          <w:tcPr>
            <w:tcW w:w="1920" w:type="dxa"/>
            <w:vAlign w:val="bottom"/>
            <w:tcBorders>
              <w:bottom w:val="single" w:sz="8" w:color="00304D"/>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-704850</wp:posOffset>
            </wp:positionV>
            <wp:extent cx="7141210" cy="35185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351853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p>
      <w:pPr>
        <w:spacing w:after="0" w:line="254" w:lineRule="exact"/>
        <w:rPr>
          <w:sz w:val="20"/>
          <w:szCs w:val="20"/>
          <w:color w:val="auto"/>
        </w:rPr>
      </w:pPr>
    </w:p>
    <w:p>
      <w:pPr>
        <w:ind w:left="100"/>
        <w:spacing w:after="0"/>
        <w:rPr>
          <w:sz w:val="20"/>
          <w:szCs w:val="20"/>
          <w:color w:val="auto"/>
        </w:rPr>
      </w:pPr>
      <w:r>
        <w:rPr>
          <w:rFonts w:ascii="Arial" w:cs="Arial" w:eastAsia="Arial" w:hAnsi="Arial"/>
          <w:sz w:val="20"/>
          <w:szCs w:val="20"/>
          <w:b w:val="1"/>
          <w:bCs w:val="1"/>
          <w:i w:val="1"/>
          <w:iCs w:val="1"/>
          <w:color w:val="00304D"/>
        </w:rPr>
        <w:t>What’s</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20"/>
          <w:szCs w:val="20"/>
          <w:b w:val="1"/>
          <w:bCs w:val="1"/>
          <w:i w:val="1"/>
          <w:iCs w:val="1"/>
          <w:color w:val="265E7C"/>
        </w:rPr>
        <w:t>New?</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jc w:val="both"/>
        <w:ind w:right="100"/>
        <w:spacing w:after="0" w:line="253" w:lineRule="auto"/>
        <w:rPr>
          <w:sz w:val="20"/>
          <w:szCs w:val="20"/>
          <w:color w:val="auto"/>
        </w:rPr>
      </w:pPr>
      <w:r>
        <w:rPr>
          <w:rFonts w:ascii="Arial" w:cs="Arial" w:eastAsia="Arial" w:hAnsi="Arial"/>
          <w:sz w:val="15"/>
          <w:szCs w:val="15"/>
          <w:b w:val="1"/>
          <w:bCs w:val="1"/>
          <w:color w:val="FFFFFF"/>
        </w:rPr>
        <w:t>In February 2026, we completed the divestiture of a majority interest in our residential kitchen equipment business segment (the “Residential Transaction”), as part of our broader portfolio transformation into a pure-play commercial foodservice equipment company. At the closing of the Residential Transaction, we received net cash proceeds of approximately $565 million and a $135 million promissory note, subject to future closing adjustments. This strategic transaction will enhance our ability to invest in organic growth and innovation opportunities and return capital to our shareholders. Following completion of the Residential Transaction, we retain a 49% noncontrolling interest in the new standalone joint venture holding the business and will have continuing involvement with the business through various commercial arrangements, including by supporting pursuant to which we will support the joint venture on a transitional basis.</w:t>
      </w:r>
    </w:p>
    <w:p>
      <w:pPr>
        <w:spacing w:after="0" w:line="141" w:lineRule="exact"/>
        <w:rPr>
          <w:sz w:val="20"/>
          <w:szCs w:val="20"/>
          <w:color w:val="auto"/>
        </w:rPr>
      </w:pPr>
    </w:p>
    <w:p>
      <w:pPr>
        <w:jc w:val="both"/>
        <w:ind w:right="100"/>
        <w:spacing w:after="0" w:line="294" w:lineRule="auto"/>
        <w:rPr>
          <w:sz w:val="20"/>
          <w:szCs w:val="20"/>
          <w:color w:val="auto"/>
        </w:rPr>
      </w:pPr>
      <w:r>
        <w:rPr>
          <w:rFonts w:ascii="Arial" w:cs="Arial" w:eastAsia="Arial" w:hAnsi="Arial"/>
          <w:sz w:val="15"/>
          <w:szCs w:val="15"/>
          <w:b w:val="1"/>
          <w:bCs w:val="1"/>
          <w:color w:val="FFFFFF"/>
        </w:rPr>
        <w:t>We published our 2025 Sustainability Metrics Update showcasing our commitment to iteratively improve our data collection methods to provide data to stakeholders.</w:t>
      </w:r>
    </w:p>
    <w:p>
      <w:pPr>
        <w:spacing w:after="0" w:line="108" w:lineRule="exact"/>
        <w:rPr>
          <w:sz w:val="20"/>
          <w:szCs w:val="20"/>
          <w:color w:val="auto"/>
        </w:rPr>
      </w:pPr>
    </w:p>
    <w:p>
      <w:pPr>
        <w:jc w:val="both"/>
        <w:ind w:right="100"/>
        <w:spacing w:after="0" w:line="257" w:lineRule="auto"/>
        <w:rPr>
          <w:sz w:val="20"/>
          <w:szCs w:val="20"/>
          <w:color w:val="auto"/>
        </w:rPr>
      </w:pPr>
      <w:r>
        <w:rPr>
          <w:rFonts w:ascii="Arial" w:cs="Arial" w:eastAsia="Arial" w:hAnsi="Arial"/>
          <w:sz w:val="15"/>
          <w:szCs w:val="15"/>
          <w:b w:val="1"/>
          <w:bCs w:val="1"/>
          <w:color w:val="FFFFFF"/>
        </w:rPr>
        <w:t>We expanded the breadth and depth of our Board of Directors by adding two new directors in 2026 with experience in driving stockholder value via strategic and financial planning and execution and by augmenting organic growth via sales and operational enhancements. In 2025, we added two new directors with similar experience in augmenting organic growth via sales and operational enhancements as well as driving stockholder value via strategic and financial planning and execution. In 2024, we added two new directors with experience in financial execution, technology innovation, acquisition, and cybersecurity.</w:t>
      </w:r>
    </w:p>
    <w:p>
      <w:pPr>
        <w:spacing w:after="0" w:line="137" w:lineRule="exact"/>
        <w:rPr>
          <w:sz w:val="20"/>
          <w:szCs w:val="20"/>
          <w:color w:val="auto"/>
        </w:rPr>
      </w:pPr>
    </w:p>
    <w:p>
      <w:pPr>
        <w:jc w:val="both"/>
        <w:ind w:right="100"/>
        <w:spacing w:after="0" w:line="269" w:lineRule="auto"/>
        <w:rPr>
          <w:sz w:val="20"/>
          <w:szCs w:val="20"/>
          <w:color w:val="auto"/>
        </w:rPr>
      </w:pPr>
      <w:r>
        <w:rPr>
          <w:rFonts w:ascii="Arial" w:cs="Arial" w:eastAsia="Arial" w:hAnsi="Arial"/>
          <w:sz w:val="15"/>
          <w:szCs w:val="15"/>
          <w:b w:val="1"/>
          <w:bCs w:val="1"/>
          <w:color w:val="FFFFFF"/>
        </w:rPr>
        <w:t>We continue to expand our robust information security training and compliance program for all new and existing employees. Our Audit Committee oversees the Company’s cybersecurity and information security program and receives periodic updates from senior management on cybersecurity and information security matters.</w:t>
      </w:r>
    </w:p>
    <w:p>
      <w:pPr>
        <w:spacing w:after="0" w:line="127" w:lineRule="exact"/>
        <w:rPr>
          <w:sz w:val="20"/>
          <w:szCs w:val="20"/>
          <w:color w:val="auto"/>
        </w:rPr>
      </w:pPr>
    </w:p>
    <w:p>
      <w:pPr>
        <w:jc w:val="both"/>
        <w:ind w:right="100"/>
        <w:spacing w:after="0" w:line="294" w:lineRule="auto"/>
        <w:rPr>
          <w:sz w:val="20"/>
          <w:szCs w:val="20"/>
          <w:color w:val="auto"/>
        </w:rPr>
      </w:pPr>
      <w:r>
        <w:rPr>
          <w:rFonts w:ascii="Arial" w:cs="Arial" w:eastAsia="Arial" w:hAnsi="Arial"/>
          <w:sz w:val="15"/>
          <w:szCs w:val="15"/>
          <w:b w:val="1"/>
          <w:bCs w:val="1"/>
          <w:color w:val="FFFFFF"/>
        </w:rPr>
        <w:t>We hope our proxy statement continues to demonstrate our commitment to transparency and responsiveness to the expectations and needs of all of our stakeholders.</w:t>
      </w:r>
    </w:p>
    <w:p>
      <w:pPr>
        <w:spacing w:after="0" w:line="200" w:lineRule="exact"/>
        <w:rPr>
          <w:sz w:val="20"/>
          <w:szCs w:val="20"/>
          <w:color w:val="auto"/>
        </w:rPr>
      </w:pPr>
    </w:p>
    <w:p>
      <w:pPr>
        <w:sectPr>
          <w:pgSz w:w="11900" w:h="16838" w:orient="portrait"/>
          <w:cols w:equalWidth="0" w:num="2">
            <w:col w:w="760" w:space="440"/>
            <w:col w:w="10040"/>
          </w:cols>
          <w:pgMar w:left="320" w:top="231" w:right="339" w:bottom="1440" w:gutter="0" w:footer="0" w:header="0"/>
          <w:type w:val="continuous"/>
        </w:sectPr>
      </w:pP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980" w:type="dxa"/>
            <w:vAlign w:val="bottom"/>
          </w:tcPr>
          <w:p>
            <w:pPr>
              <w:ind w:left="8960"/>
              <w:spacing w:after="0"/>
              <w:rPr>
                <w:sz w:val="20"/>
                <w:szCs w:val="20"/>
                <w:color w:val="auto"/>
              </w:rPr>
            </w:pPr>
            <w:r>
              <w:rPr>
                <w:rFonts w:ascii="Arial" w:cs="Arial" w:eastAsia="Arial" w:hAnsi="Arial"/>
                <w:sz w:val="15"/>
                <w:szCs w:val="15"/>
                <w:color w:val="00304D"/>
              </w:rPr>
              <w:t>2026 PROXY STATEMENT</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00304D"/>
              </w:rPr>
              <w:t>5</w:t>
            </w:r>
          </w:p>
        </w:tc>
      </w:tr>
      <w:tr>
        <w:trPr>
          <w:trHeight w:val="248"/>
        </w:trPr>
        <w:tc>
          <w:tcPr>
            <w:tcW w:w="1098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4993640</wp:posOffset>
            </wp:positionH>
            <wp:positionV relativeFrom="paragraph">
              <wp:posOffset>-295910</wp:posOffset>
            </wp:positionV>
            <wp:extent cx="641350" cy="958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5"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Director Nominees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5"/>
                <w:szCs w:val="15"/>
                <w:b w:val="1"/>
                <w:bCs w:val="1"/>
                <w:color w:val="002F4D"/>
              </w:rPr>
              <w:t>Director</w:t>
            </w:r>
          </w:p>
        </w:tc>
        <w:tc>
          <w:tcPr>
            <w:tcW w:w="14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0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002F4D"/>
              </w:rPr>
              <w:t>Name</w:t>
            </w:r>
          </w:p>
        </w:tc>
        <w:tc>
          <w:tcPr>
            <w:tcW w:w="3740" w:type="dxa"/>
            <w:vAlign w:val="bottom"/>
            <w:tcBorders>
              <w:bottom w:val="single" w:sz="8" w:color="002F4D"/>
            </w:tcBorders>
          </w:tcPr>
          <w:p>
            <w:pPr>
              <w:ind w:left="300"/>
              <w:spacing w:after="0"/>
              <w:rPr>
                <w:sz w:val="20"/>
                <w:szCs w:val="20"/>
                <w:color w:val="auto"/>
              </w:rPr>
            </w:pPr>
            <w:r>
              <w:rPr>
                <w:rFonts w:ascii="Arial" w:cs="Arial" w:eastAsia="Arial" w:hAnsi="Arial"/>
                <w:sz w:val="15"/>
                <w:szCs w:val="15"/>
                <w:b w:val="1"/>
                <w:bCs w:val="1"/>
                <w:color w:val="002F4D"/>
              </w:rPr>
              <w:t>Occupation</w:t>
            </w:r>
          </w:p>
        </w:tc>
        <w:tc>
          <w:tcPr>
            <w:tcW w:w="800" w:type="dxa"/>
            <w:vAlign w:val="bottom"/>
            <w:tcBorders>
              <w:bottom w:val="single" w:sz="8" w:color="002F4D"/>
            </w:tcBorders>
          </w:tcPr>
          <w:p>
            <w:pPr>
              <w:jc w:val="center"/>
              <w:ind w:right="44"/>
              <w:spacing w:after="0"/>
              <w:rPr>
                <w:sz w:val="20"/>
                <w:szCs w:val="20"/>
                <w:color w:val="auto"/>
              </w:rPr>
            </w:pPr>
            <w:r>
              <w:rPr>
                <w:rFonts w:ascii="Arial" w:cs="Arial" w:eastAsia="Arial" w:hAnsi="Arial"/>
                <w:sz w:val="15"/>
                <w:szCs w:val="15"/>
                <w:b w:val="1"/>
                <w:bCs w:val="1"/>
                <w:color w:val="002F4D"/>
                <w:w w:val="98"/>
              </w:rPr>
              <w:t>Age</w:t>
            </w:r>
          </w:p>
        </w:tc>
        <w:tc>
          <w:tcPr>
            <w:tcW w:w="1120" w:type="dxa"/>
            <w:vAlign w:val="bottom"/>
            <w:tcBorders>
              <w:bottom w:val="single" w:sz="8" w:color="002F4D"/>
            </w:tcBorders>
          </w:tcPr>
          <w:p>
            <w:pPr>
              <w:jc w:val="center"/>
              <w:spacing w:after="0"/>
              <w:rPr>
                <w:sz w:val="20"/>
                <w:szCs w:val="20"/>
                <w:color w:val="auto"/>
              </w:rPr>
            </w:pPr>
            <w:r>
              <w:rPr>
                <w:rFonts w:ascii="Arial" w:cs="Arial" w:eastAsia="Arial" w:hAnsi="Arial"/>
                <w:sz w:val="15"/>
                <w:szCs w:val="15"/>
                <w:b w:val="1"/>
                <w:bCs w:val="1"/>
                <w:color w:val="002F4D"/>
                <w:w w:val="98"/>
              </w:rPr>
              <w:t>since</w:t>
            </w:r>
          </w:p>
        </w:tc>
        <w:tc>
          <w:tcPr>
            <w:tcW w:w="3580" w:type="dxa"/>
            <w:vAlign w:val="bottom"/>
            <w:tcBorders>
              <w:bottom w:val="single" w:sz="8" w:color="002F4D"/>
            </w:tcBorders>
            <w:gridSpan w:val="2"/>
          </w:tcPr>
          <w:p>
            <w:pPr>
              <w:ind w:left="240"/>
              <w:spacing w:after="0"/>
              <w:rPr>
                <w:sz w:val="20"/>
                <w:szCs w:val="20"/>
                <w:color w:val="auto"/>
              </w:rPr>
            </w:pPr>
            <w:r>
              <w:rPr>
                <w:rFonts w:ascii="Arial" w:cs="Arial" w:eastAsia="Arial" w:hAnsi="Arial"/>
                <w:sz w:val="15"/>
                <w:szCs w:val="15"/>
                <w:b w:val="1"/>
                <w:bCs w:val="1"/>
                <w:color w:val="002F4D"/>
              </w:rPr>
              <w:t>Independent   Committees</w:t>
            </w:r>
          </w:p>
        </w:tc>
        <w:tc>
          <w:tcPr>
            <w:tcW w:w="0" w:type="dxa"/>
            <w:vAlign w:val="bottom"/>
          </w:tcPr>
          <w:p>
            <w:pPr>
              <w:spacing w:after="0"/>
              <w:rPr>
                <w:sz w:val="1"/>
                <w:szCs w:val="1"/>
                <w:color w:val="auto"/>
              </w:rPr>
            </w:pPr>
          </w:p>
        </w:tc>
      </w:tr>
      <w:tr>
        <w:trPr>
          <w:trHeight w:val="170"/>
        </w:trPr>
        <w:tc>
          <w:tcPr>
            <w:tcW w:w="20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580" w:type="dxa"/>
            <w:vAlign w:val="bottom"/>
            <w:gridSpan w:val="2"/>
          </w:tcPr>
          <w:p>
            <w:pPr>
              <w:ind w:left="1360"/>
              <w:spacing w:after="0" w:line="170" w:lineRule="exact"/>
              <w:rPr>
                <w:sz w:val="20"/>
                <w:szCs w:val="20"/>
                <w:color w:val="auto"/>
              </w:rPr>
            </w:pPr>
            <w:r>
              <w:rPr>
                <w:rFonts w:ascii="Arial" w:cs="Arial" w:eastAsia="Arial" w:hAnsi="Arial"/>
                <w:sz w:val="15"/>
                <w:szCs w:val="15"/>
                <w:color w:val="265E7C"/>
              </w:rPr>
              <w:t xml:space="preserve">• </w:t>
            </w:r>
            <w:r>
              <w:rPr>
                <w:rFonts w:ascii="Arial" w:cs="Arial" w:eastAsia="Arial" w:hAnsi="Arial"/>
                <w:sz w:val="15"/>
                <w:szCs w:val="15"/>
                <w:color w:val="231F20"/>
              </w:rPr>
              <w:t>Compensation</w:t>
            </w:r>
          </w:p>
        </w:tc>
        <w:tc>
          <w:tcPr>
            <w:tcW w:w="0" w:type="dxa"/>
            <w:vAlign w:val="bottom"/>
          </w:tcPr>
          <w:p>
            <w:pPr>
              <w:spacing w:after="0"/>
              <w:rPr>
                <w:sz w:val="1"/>
                <w:szCs w:val="1"/>
                <w:color w:val="auto"/>
              </w:rPr>
            </w:pPr>
          </w:p>
        </w:tc>
      </w:tr>
      <w:tr>
        <w:trPr>
          <w:trHeight w:val="177"/>
        </w:trPr>
        <w:tc>
          <w:tcPr>
            <w:tcW w:w="2000" w:type="dxa"/>
            <w:vAlign w:val="bottom"/>
          </w:tcPr>
          <w:p>
            <w:pPr>
              <w:ind w:left="60"/>
              <w:spacing w:after="0"/>
              <w:rPr>
                <w:sz w:val="20"/>
                <w:szCs w:val="20"/>
                <w:color w:val="auto"/>
              </w:rPr>
            </w:pPr>
            <w:r>
              <w:rPr>
                <w:rFonts w:ascii="Arial" w:cs="Arial" w:eastAsia="Arial" w:hAnsi="Arial"/>
                <w:sz w:val="15"/>
                <w:szCs w:val="15"/>
                <w:b w:val="1"/>
                <w:bCs w:val="1"/>
                <w:color w:val="265E7C"/>
              </w:rPr>
              <w:t>Julie M. Bowerman</w:t>
            </w:r>
          </w:p>
        </w:tc>
        <w:tc>
          <w:tcPr>
            <w:tcW w:w="3740" w:type="dxa"/>
            <w:vAlign w:val="bottom"/>
          </w:tcPr>
          <w:p>
            <w:pPr>
              <w:ind w:left="300"/>
              <w:spacing w:after="0"/>
              <w:rPr>
                <w:sz w:val="20"/>
                <w:szCs w:val="20"/>
                <w:color w:val="auto"/>
              </w:rPr>
            </w:pPr>
            <w:r>
              <w:rPr>
                <w:rFonts w:ascii="Arial" w:cs="Arial" w:eastAsia="Arial" w:hAnsi="Arial"/>
                <w:sz w:val="15"/>
                <w:szCs w:val="15"/>
                <w:color w:val="231F20"/>
              </w:rPr>
              <w:t>Former Chief Marketing Officer at Kellanova</w:t>
            </w:r>
          </w:p>
        </w:tc>
        <w:tc>
          <w:tcPr>
            <w:tcW w:w="800" w:type="dxa"/>
            <w:vAlign w:val="bottom"/>
          </w:tcPr>
          <w:p>
            <w:pPr>
              <w:jc w:val="center"/>
              <w:ind w:right="44"/>
              <w:spacing w:after="0"/>
              <w:rPr>
                <w:sz w:val="20"/>
                <w:szCs w:val="20"/>
                <w:color w:val="auto"/>
              </w:rPr>
            </w:pPr>
            <w:r>
              <w:rPr>
                <w:rFonts w:ascii="Arial" w:cs="Arial" w:eastAsia="Arial" w:hAnsi="Arial"/>
                <w:sz w:val="15"/>
                <w:szCs w:val="15"/>
                <w:color w:val="231F20"/>
                <w:w w:val="95"/>
              </w:rPr>
              <w:t>57</w:t>
            </w:r>
          </w:p>
        </w:tc>
        <w:tc>
          <w:tcPr>
            <w:tcW w:w="1120" w:type="dxa"/>
            <w:vAlign w:val="bottom"/>
          </w:tcPr>
          <w:p>
            <w:pPr>
              <w:jc w:val="center"/>
              <w:spacing w:after="0"/>
              <w:rPr>
                <w:sz w:val="20"/>
                <w:szCs w:val="20"/>
                <w:color w:val="auto"/>
              </w:rPr>
            </w:pPr>
            <w:r>
              <w:rPr>
                <w:rFonts w:ascii="Arial" w:cs="Arial" w:eastAsia="Arial" w:hAnsi="Arial"/>
                <w:sz w:val="15"/>
                <w:szCs w:val="15"/>
                <w:color w:val="231F20"/>
              </w:rPr>
              <w:t>2025</w:t>
            </w:r>
          </w:p>
        </w:tc>
        <w:tc>
          <w:tcPr>
            <w:tcW w:w="1460" w:type="dxa"/>
            <w:vAlign w:val="bottom"/>
          </w:tcPr>
          <w:p>
            <w:pPr>
              <w:ind w:left="1360"/>
              <w:spacing w:after="0"/>
              <w:rPr>
                <w:sz w:val="20"/>
                <w:szCs w:val="20"/>
                <w:color w:val="auto"/>
              </w:rPr>
            </w:pPr>
            <w:r>
              <w:rPr>
                <w:rFonts w:ascii="Arial" w:cs="Arial" w:eastAsia="Arial" w:hAnsi="Arial"/>
                <w:sz w:val="15"/>
                <w:szCs w:val="15"/>
                <w:color w:val="265E7C"/>
              </w:rPr>
              <w:t>•</w:t>
            </w:r>
          </w:p>
        </w:tc>
        <w:tc>
          <w:tcPr>
            <w:tcW w:w="2120" w:type="dxa"/>
            <w:vAlign w:val="bottom"/>
          </w:tcPr>
          <w:p>
            <w:pPr>
              <w:ind w:left="40"/>
              <w:spacing w:after="0"/>
              <w:rPr>
                <w:sz w:val="20"/>
                <w:szCs w:val="20"/>
                <w:color w:val="auto"/>
              </w:rPr>
            </w:pPr>
            <w:r>
              <w:rPr>
                <w:rFonts w:ascii="Arial" w:cs="Arial" w:eastAsia="Arial" w:hAnsi="Arial"/>
                <w:sz w:val="15"/>
                <w:szCs w:val="15"/>
                <w:color w:val="231F20"/>
              </w:rPr>
              <w:t>Nominating and Corporate</w:t>
            </w:r>
          </w:p>
        </w:tc>
        <w:tc>
          <w:tcPr>
            <w:tcW w:w="0" w:type="dxa"/>
            <w:vAlign w:val="bottom"/>
          </w:tcPr>
          <w:p>
            <w:pPr>
              <w:spacing w:after="0"/>
              <w:rPr>
                <w:sz w:val="1"/>
                <w:szCs w:val="1"/>
                <w:color w:val="auto"/>
              </w:rPr>
            </w:pPr>
          </w:p>
        </w:tc>
      </w:tr>
      <w:tr>
        <w:trPr>
          <w:trHeight w:val="200"/>
        </w:trPr>
        <w:tc>
          <w:tcPr>
            <w:tcW w:w="2000" w:type="dxa"/>
            <w:vAlign w:val="bottom"/>
            <w:tcBorders>
              <w:bottom w:val="single" w:sz="8" w:color="002F4D"/>
            </w:tcBorders>
          </w:tcPr>
          <w:p>
            <w:pPr>
              <w:spacing w:after="0"/>
              <w:rPr>
                <w:sz w:val="17"/>
                <w:szCs w:val="17"/>
                <w:color w:val="auto"/>
              </w:rPr>
            </w:pPr>
          </w:p>
        </w:tc>
        <w:tc>
          <w:tcPr>
            <w:tcW w:w="3740" w:type="dxa"/>
            <w:vAlign w:val="bottom"/>
            <w:tcBorders>
              <w:bottom w:val="single" w:sz="8" w:color="002F4D"/>
            </w:tcBorders>
          </w:tcPr>
          <w:p>
            <w:pPr>
              <w:spacing w:after="0"/>
              <w:rPr>
                <w:sz w:val="17"/>
                <w:szCs w:val="17"/>
                <w:color w:val="auto"/>
              </w:rPr>
            </w:pPr>
          </w:p>
        </w:tc>
        <w:tc>
          <w:tcPr>
            <w:tcW w:w="800" w:type="dxa"/>
            <w:vAlign w:val="bottom"/>
            <w:tcBorders>
              <w:bottom w:val="single" w:sz="8" w:color="002F4D"/>
            </w:tcBorders>
          </w:tcPr>
          <w:p>
            <w:pPr>
              <w:spacing w:after="0"/>
              <w:rPr>
                <w:sz w:val="17"/>
                <w:szCs w:val="17"/>
                <w:color w:val="auto"/>
              </w:rPr>
            </w:pPr>
          </w:p>
        </w:tc>
        <w:tc>
          <w:tcPr>
            <w:tcW w:w="1120" w:type="dxa"/>
            <w:vAlign w:val="bottom"/>
            <w:tcBorders>
              <w:bottom w:val="single" w:sz="8" w:color="002F4D"/>
            </w:tcBorders>
          </w:tcPr>
          <w:p>
            <w:pPr>
              <w:spacing w:after="0"/>
              <w:rPr>
                <w:sz w:val="17"/>
                <w:szCs w:val="17"/>
                <w:color w:val="auto"/>
              </w:rPr>
            </w:pPr>
          </w:p>
        </w:tc>
        <w:tc>
          <w:tcPr>
            <w:tcW w:w="1460" w:type="dxa"/>
            <w:vAlign w:val="bottom"/>
            <w:tcBorders>
              <w:bottom w:val="single" w:sz="8" w:color="002F4D"/>
            </w:tcBorders>
          </w:tcPr>
          <w:p>
            <w:pPr>
              <w:spacing w:after="0"/>
              <w:rPr>
                <w:sz w:val="17"/>
                <w:szCs w:val="17"/>
                <w:color w:val="auto"/>
              </w:rPr>
            </w:pPr>
          </w:p>
        </w:tc>
        <w:tc>
          <w:tcPr>
            <w:tcW w:w="2120" w:type="dxa"/>
            <w:vAlign w:val="bottom"/>
            <w:tcBorders>
              <w:bottom w:val="single" w:sz="8" w:color="002F4D"/>
            </w:tcBorders>
          </w:tcPr>
          <w:p>
            <w:pPr>
              <w:ind w:left="40"/>
              <w:spacing w:after="0"/>
              <w:rPr>
                <w:sz w:val="20"/>
                <w:szCs w:val="20"/>
                <w:color w:val="auto"/>
              </w:rPr>
            </w:pPr>
            <w:r>
              <w:rPr>
                <w:rFonts w:ascii="Arial" w:cs="Arial" w:eastAsia="Arial" w:hAnsi="Arial"/>
                <w:sz w:val="15"/>
                <w:szCs w:val="15"/>
                <w:color w:val="231F20"/>
              </w:rPr>
              <w:t>Governance</w:t>
            </w:r>
          </w:p>
        </w:tc>
        <w:tc>
          <w:tcPr>
            <w:tcW w:w="0" w:type="dxa"/>
            <w:vAlign w:val="bottom"/>
          </w:tcPr>
          <w:p>
            <w:pPr>
              <w:spacing w:after="0"/>
              <w:rPr>
                <w:sz w:val="1"/>
                <w:szCs w:val="1"/>
                <w:color w:val="auto"/>
              </w:rPr>
            </w:pPr>
          </w:p>
        </w:tc>
      </w:tr>
      <w:tr>
        <w:trPr>
          <w:trHeight w:val="171"/>
        </w:trPr>
        <w:tc>
          <w:tcPr>
            <w:tcW w:w="2000" w:type="dxa"/>
            <w:vAlign w:val="bottom"/>
            <w:vMerge w:val="restart"/>
          </w:tcPr>
          <w:p>
            <w:pPr>
              <w:ind w:left="60"/>
              <w:spacing w:after="0"/>
              <w:rPr>
                <w:sz w:val="20"/>
                <w:szCs w:val="20"/>
                <w:color w:val="auto"/>
              </w:rPr>
            </w:pPr>
            <w:r>
              <w:rPr>
                <w:rFonts w:ascii="Arial" w:cs="Arial" w:eastAsia="Arial" w:hAnsi="Arial"/>
                <w:sz w:val="15"/>
                <w:szCs w:val="15"/>
                <w:b w:val="1"/>
                <w:bCs w:val="1"/>
                <w:color w:val="265E7C"/>
              </w:rPr>
              <w:t>Sarah Palisi Chapin</w:t>
            </w:r>
          </w:p>
        </w:tc>
        <w:tc>
          <w:tcPr>
            <w:tcW w:w="3740" w:type="dxa"/>
            <w:vAlign w:val="bottom"/>
            <w:vMerge w:val="restart"/>
          </w:tcPr>
          <w:p>
            <w:pPr>
              <w:ind w:left="300"/>
              <w:spacing w:after="0"/>
              <w:rPr>
                <w:sz w:val="20"/>
                <w:szCs w:val="20"/>
                <w:color w:val="auto"/>
              </w:rPr>
            </w:pPr>
            <w:r>
              <w:rPr>
                <w:rFonts w:ascii="Arial" w:cs="Arial" w:eastAsia="Arial" w:hAnsi="Arial"/>
                <w:sz w:val="15"/>
                <w:szCs w:val="15"/>
                <w:color w:val="231F20"/>
              </w:rPr>
              <w:t>Principal of Chapin Creative, LLC</w:t>
            </w:r>
          </w:p>
        </w:tc>
        <w:tc>
          <w:tcPr>
            <w:tcW w:w="800" w:type="dxa"/>
            <w:vAlign w:val="bottom"/>
            <w:vMerge w:val="restart"/>
          </w:tcPr>
          <w:p>
            <w:pPr>
              <w:jc w:val="center"/>
              <w:ind w:right="44"/>
              <w:spacing w:after="0"/>
              <w:rPr>
                <w:sz w:val="20"/>
                <w:szCs w:val="20"/>
                <w:color w:val="auto"/>
              </w:rPr>
            </w:pPr>
            <w:r>
              <w:rPr>
                <w:rFonts w:ascii="Arial" w:cs="Arial" w:eastAsia="Arial" w:hAnsi="Arial"/>
                <w:sz w:val="15"/>
                <w:szCs w:val="15"/>
                <w:color w:val="231F20"/>
                <w:w w:val="95"/>
              </w:rPr>
              <w:t>64</w:t>
            </w:r>
          </w:p>
        </w:tc>
        <w:tc>
          <w:tcPr>
            <w:tcW w:w="1120" w:type="dxa"/>
            <w:vAlign w:val="bottom"/>
            <w:vMerge w:val="restart"/>
          </w:tcPr>
          <w:p>
            <w:pPr>
              <w:jc w:val="center"/>
              <w:spacing w:after="0"/>
              <w:rPr>
                <w:sz w:val="20"/>
                <w:szCs w:val="20"/>
                <w:color w:val="auto"/>
              </w:rPr>
            </w:pPr>
            <w:r>
              <w:rPr>
                <w:rFonts w:ascii="Arial" w:cs="Arial" w:eastAsia="Arial" w:hAnsi="Arial"/>
                <w:sz w:val="15"/>
                <w:szCs w:val="15"/>
                <w:color w:val="231F20"/>
              </w:rPr>
              <w:t>2013</w:t>
            </w:r>
          </w:p>
        </w:tc>
        <w:tc>
          <w:tcPr>
            <w:tcW w:w="1460" w:type="dxa"/>
            <w:vAlign w:val="bottom"/>
          </w:tcPr>
          <w:p>
            <w:pPr>
              <w:ind w:left="1360"/>
              <w:spacing w:after="0" w:line="171" w:lineRule="exact"/>
              <w:rPr>
                <w:sz w:val="20"/>
                <w:szCs w:val="20"/>
                <w:color w:val="auto"/>
              </w:rPr>
            </w:pPr>
            <w:r>
              <w:rPr>
                <w:rFonts w:ascii="Arial" w:cs="Arial" w:eastAsia="Arial" w:hAnsi="Arial"/>
                <w:sz w:val="15"/>
                <w:szCs w:val="15"/>
                <w:color w:val="265E7C"/>
              </w:rPr>
              <w:t>•</w:t>
            </w:r>
          </w:p>
        </w:tc>
        <w:tc>
          <w:tcPr>
            <w:tcW w:w="2120" w:type="dxa"/>
            <w:vAlign w:val="bottom"/>
          </w:tcPr>
          <w:p>
            <w:pPr>
              <w:ind w:left="40"/>
              <w:spacing w:after="0" w:line="171" w:lineRule="exact"/>
              <w:rPr>
                <w:sz w:val="20"/>
                <w:szCs w:val="20"/>
                <w:color w:val="auto"/>
              </w:rPr>
            </w:pPr>
            <w:r>
              <w:rPr>
                <w:rFonts w:ascii="Arial" w:cs="Arial" w:eastAsia="Arial" w:hAnsi="Arial"/>
                <w:sz w:val="15"/>
                <w:szCs w:val="15"/>
                <w:color w:val="231F20"/>
              </w:rPr>
              <w:t>Nominating and Corporate</w:t>
            </w:r>
          </w:p>
        </w:tc>
        <w:tc>
          <w:tcPr>
            <w:tcW w:w="0" w:type="dxa"/>
            <w:vAlign w:val="bottom"/>
          </w:tcPr>
          <w:p>
            <w:pPr>
              <w:spacing w:after="0"/>
              <w:rPr>
                <w:sz w:val="1"/>
                <w:szCs w:val="1"/>
                <w:color w:val="auto"/>
              </w:rPr>
            </w:pPr>
          </w:p>
        </w:tc>
      </w:tr>
      <w:tr>
        <w:trPr>
          <w:trHeight w:val="119"/>
        </w:trPr>
        <w:tc>
          <w:tcPr>
            <w:tcW w:w="2000" w:type="dxa"/>
            <w:vAlign w:val="bottom"/>
            <w:vMerge w:val="continue"/>
          </w:tcPr>
          <w:p>
            <w:pPr>
              <w:spacing w:after="0"/>
              <w:rPr>
                <w:sz w:val="10"/>
                <w:szCs w:val="10"/>
                <w:color w:val="auto"/>
              </w:rPr>
            </w:pPr>
          </w:p>
        </w:tc>
        <w:tc>
          <w:tcPr>
            <w:tcW w:w="374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5"/>
                <w:szCs w:val="15"/>
                <w:color w:val="231F20"/>
              </w:rPr>
              <w:t>Governance (chair)</w:t>
            </w:r>
          </w:p>
        </w:tc>
        <w:tc>
          <w:tcPr>
            <w:tcW w:w="0" w:type="dxa"/>
            <w:vAlign w:val="bottom"/>
          </w:tcPr>
          <w:p>
            <w:pPr>
              <w:spacing w:after="0"/>
              <w:rPr>
                <w:sz w:val="1"/>
                <w:szCs w:val="1"/>
                <w:color w:val="auto"/>
              </w:rPr>
            </w:pPr>
          </w:p>
        </w:tc>
      </w:tr>
      <w:tr>
        <w:trPr>
          <w:trHeight w:val="82"/>
        </w:trPr>
        <w:tc>
          <w:tcPr>
            <w:tcW w:w="2000" w:type="dxa"/>
            <w:vAlign w:val="bottom"/>
            <w:tcBorders>
              <w:bottom w:val="single" w:sz="8" w:color="002F4D"/>
            </w:tcBorders>
          </w:tcPr>
          <w:p>
            <w:pPr>
              <w:spacing w:after="0"/>
              <w:rPr>
                <w:sz w:val="7"/>
                <w:szCs w:val="7"/>
                <w:color w:val="auto"/>
              </w:rPr>
            </w:pPr>
          </w:p>
        </w:tc>
        <w:tc>
          <w:tcPr>
            <w:tcW w:w="3740" w:type="dxa"/>
            <w:vAlign w:val="bottom"/>
            <w:tcBorders>
              <w:bottom w:val="single" w:sz="8" w:color="002F4D"/>
            </w:tcBorders>
          </w:tcPr>
          <w:p>
            <w:pPr>
              <w:spacing w:after="0"/>
              <w:rPr>
                <w:sz w:val="7"/>
                <w:szCs w:val="7"/>
                <w:color w:val="auto"/>
              </w:rPr>
            </w:pPr>
          </w:p>
        </w:tc>
        <w:tc>
          <w:tcPr>
            <w:tcW w:w="800" w:type="dxa"/>
            <w:vAlign w:val="bottom"/>
            <w:tcBorders>
              <w:bottom w:val="single" w:sz="8" w:color="002F4D"/>
            </w:tcBorders>
          </w:tcPr>
          <w:p>
            <w:pPr>
              <w:spacing w:after="0"/>
              <w:rPr>
                <w:sz w:val="7"/>
                <w:szCs w:val="7"/>
                <w:color w:val="auto"/>
              </w:rPr>
            </w:pPr>
          </w:p>
        </w:tc>
        <w:tc>
          <w:tcPr>
            <w:tcW w:w="1120" w:type="dxa"/>
            <w:vAlign w:val="bottom"/>
            <w:tcBorders>
              <w:bottom w:val="single" w:sz="8" w:color="002F4D"/>
            </w:tcBorders>
          </w:tcPr>
          <w:p>
            <w:pPr>
              <w:spacing w:after="0"/>
              <w:rPr>
                <w:sz w:val="7"/>
                <w:szCs w:val="7"/>
                <w:color w:val="auto"/>
              </w:rPr>
            </w:pPr>
          </w:p>
        </w:tc>
        <w:tc>
          <w:tcPr>
            <w:tcW w:w="1460" w:type="dxa"/>
            <w:vAlign w:val="bottom"/>
            <w:tcBorders>
              <w:bottom w:val="single" w:sz="8" w:color="002F4D"/>
            </w:tcBorders>
          </w:tcPr>
          <w:p>
            <w:pPr>
              <w:spacing w:after="0"/>
              <w:rPr>
                <w:sz w:val="7"/>
                <w:szCs w:val="7"/>
                <w:color w:val="auto"/>
              </w:rPr>
            </w:pPr>
          </w:p>
        </w:tc>
        <w:tc>
          <w:tcPr>
            <w:tcW w:w="2120" w:type="dxa"/>
            <w:vAlign w:val="bottom"/>
            <w:tcBorders>
              <w:bottom w:val="single" w:sz="8" w:color="002F4D"/>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00" w:type="dxa"/>
            <w:vAlign w:val="bottom"/>
            <w:vMerge w:val="restart"/>
          </w:tcPr>
          <w:p>
            <w:pPr>
              <w:ind w:left="60"/>
              <w:spacing w:after="0"/>
              <w:rPr>
                <w:sz w:val="20"/>
                <w:szCs w:val="20"/>
                <w:color w:val="auto"/>
              </w:rPr>
            </w:pPr>
            <w:r>
              <w:rPr>
                <w:rFonts w:ascii="Arial" w:cs="Arial" w:eastAsia="Arial" w:hAnsi="Arial"/>
                <w:sz w:val="15"/>
                <w:szCs w:val="15"/>
                <w:b w:val="1"/>
                <w:bCs w:val="1"/>
                <w:color w:val="265E7C"/>
              </w:rPr>
              <w:t>Glenn A. Eisenberg</w:t>
            </w:r>
          </w:p>
        </w:tc>
        <w:tc>
          <w:tcPr>
            <w:tcW w:w="3740" w:type="dxa"/>
            <w:vAlign w:val="bottom"/>
          </w:tcPr>
          <w:p>
            <w:pPr>
              <w:ind w:left="300"/>
              <w:spacing w:after="0" w:line="171" w:lineRule="exact"/>
              <w:rPr>
                <w:sz w:val="20"/>
                <w:szCs w:val="20"/>
                <w:color w:val="auto"/>
              </w:rPr>
            </w:pPr>
            <w:r>
              <w:rPr>
                <w:rFonts w:ascii="Arial" w:cs="Arial" w:eastAsia="Arial" w:hAnsi="Arial"/>
                <w:sz w:val="15"/>
                <w:szCs w:val="15"/>
                <w:color w:val="231F20"/>
              </w:rPr>
              <w:t>Former EVP and CFO of Laboratory Corporation</w:t>
            </w:r>
          </w:p>
        </w:tc>
        <w:tc>
          <w:tcPr>
            <w:tcW w:w="800" w:type="dxa"/>
            <w:vAlign w:val="bottom"/>
            <w:vMerge w:val="restart"/>
          </w:tcPr>
          <w:p>
            <w:pPr>
              <w:jc w:val="center"/>
              <w:ind w:right="44"/>
              <w:spacing w:after="0"/>
              <w:rPr>
                <w:sz w:val="20"/>
                <w:szCs w:val="20"/>
                <w:color w:val="auto"/>
              </w:rPr>
            </w:pPr>
            <w:r>
              <w:rPr>
                <w:rFonts w:ascii="Arial" w:cs="Arial" w:eastAsia="Arial" w:hAnsi="Arial"/>
                <w:sz w:val="15"/>
                <w:szCs w:val="15"/>
                <w:color w:val="231F20"/>
                <w:w w:val="95"/>
              </w:rPr>
              <w:t>64</w:t>
            </w:r>
          </w:p>
        </w:tc>
        <w:tc>
          <w:tcPr>
            <w:tcW w:w="1120" w:type="dxa"/>
            <w:vAlign w:val="bottom"/>
            <w:vMerge w:val="restart"/>
          </w:tcPr>
          <w:p>
            <w:pPr>
              <w:jc w:val="center"/>
              <w:spacing w:after="0"/>
              <w:rPr>
                <w:sz w:val="20"/>
                <w:szCs w:val="20"/>
                <w:color w:val="auto"/>
              </w:rPr>
            </w:pPr>
            <w:r>
              <w:rPr>
                <w:rFonts w:ascii="Arial" w:cs="Arial" w:eastAsia="Arial" w:hAnsi="Arial"/>
                <w:sz w:val="15"/>
                <w:szCs w:val="15"/>
                <w:color w:val="231F20"/>
              </w:rPr>
              <w:t>2026</w:t>
            </w:r>
          </w:p>
        </w:tc>
        <w:tc>
          <w:tcPr>
            <w:tcW w:w="3580" w:type="dxa"/>
            <w:vAlign w:val="bottom"/>
            <w:gridSpan w:val="2"/>
          </w:tcPr>
          <w:p>
            <w:pPr>
              <w:ind w:left="1360"/>
              <w:spacing w:after="0" w:line="171" w:lineRule="exact"/>
              <w:rPr>
                <w:sz w:val="20"/>
                <w:szCs w:val="20"/>
                <w:color w:val="auto"/>
              </w:rPr>
            </w:pPr>
            <w:r>
              <w:rPr>
                <w:rFonts w:ascii="Arial" w:cs="Arial" w:eastAsia="Arial" w:hAnsi="Arial"/>
                <w:sz w:val="15"/>
                <w:szCs w:val="15"/>
                <w:color w:val="265E7C"/>
              </w:rPr>
              <w:t xml:space="preserve">• </w:t>
            </w:r>
            <w:r>
              <w:rPr>
                <w:rFonts w:ascii="Arial" w:cs="Arial" w:eastAsia="Arial" w:hAnsi="Arial"/>
                <w:sz w:val="15"/>
                <w:szCs w:val="15"/>
                <w:color w:val="231F20"/>
              </w:rPr>
              <w:t>Nominating and Corporate</w:t>
            </w:r>
          </w:p>
        </w:tc>
        <w:tc>
          <w:tcPr>
            <w:tcW w:w="0" w:type="dxa"/>
            <w:vAlign w:val="bottom"/>
          </w:tcPr>
          <w:p>
            <w:pPr>
              <w:spacing w:after="0"/>
              <w:rPr>
                <w:sz w:val="1"/>
                <w:szCs w:val="1"/>
                <w:color w:val="auto"/>
              </w:rPr>
            </w:pPr>
          </w:p>
        </w:tc>
      </w:tr>
      <w:tr>
        <w:trPr>
          <w:trHeight w:val="119"/>
        </w:trPr>
        <w:tc>
          <w:tcPr>
            <w:tcW w:w="2000" w:type="dxa"/>
            <w:vAlign w:val="bottom"/>
            <w:vMerge w:val="continue"/>
          </w:tcPr>
          <w:p>
            <w:pPr>
              <w:spacing w:after="0"/>
              <w:rPr>
                <w:sz w:val="10"/>
                <w:szCs w:val="10"/>
                <w:color w:val="auto"/>
              </w:rPr>
            </w:pPr>
          </w:p>
        </w:tc>
        <w:tc>
          <w:tcPr>
            <w:tcW w:w="3740" w:type="dxa"/>
            <w:vAlign w:val="bottom"/>
            <w:vMerge w:val="restart"/>
          </w:tcPr>
          <w:p>
            <w:pPr>
              <w:ind w:left="300"/>
              <w:spacing w:after="0"/>
              <w:rPr>
                <w:sz w:val="20"/>
                <w:szCs w:val="20"/>
                <w:color w:val="auto"/>
              </w:rPr>
            </w:pPr>
            <w:r>
              <w:rPr>
                <w:rFonts w:ascii="Arial" w:cs="Arial" w:eastAsia="Arial" w:hAnsi="Arial"/>
                <w:sz w:val="15"/>
                <w:szCs w:val="15"/>
                <w:color w:val="231F20"/>
              </w:rPr>
              <w:t>of America Holdings</w:t>
            </w:r>
          </w:p>
        </w:tc>
        <w:tc>
          <w:tcPr>
            <w:tcW w:w="80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5"/>
                <w:szCs w:val="15"/>
                <w:color w:val="231F20"/>
              </w:rPr>
              <w:t>Governance</w:t>
            </w:r>
          </w:p>
        </w:tc>
        <w:tc>
          <w:tcPr>
            <w:tcW w:w="0" w:type="dxa"/>
            <w:vAlign w:val="bottom"/>
          </w:tcPr>
          <w:p>
            <w:pPr>
              <w:spacing w:after="0"/>
              <w:rPr>
                <w:sz w:val="1"/>
                <w:szCs w:val="1"/>
                <w:color w:val="auto"/>
              </w:rPr>
            </w:pPr>
          </w:p>
        </w:tc>
      </w:tr>
      <w:tr>
        <w:trPr>
          <w:trHeight w:val="82"/>
        </w:trPr>
        <w:tc>
          <w:tcPr>
            <w:tcW w:w="2000" w:type="dxa"/>
            <w:vAlign w:val="bottom"/>
            <w:tcBorders>
              <w:bottom w:val="single" w:sz="8" w:color="002F4D"/>
            </w:tcBorders>
          </w:tcPr>
          <w:p>
            <w:pPr>
              <w:spacing w:after="0"/>
              <w:rPr>
                <w:sz w:val="7"/>
                <w:szCs w:val="7"/>
                <w:color w:val="auto"/>
              </w:rPr>
            </w:pPr>
          </w:p>
        </w:tc>
        <w:tc>
          <w:tcPr>
            <w:tcW w:w="3740" w:type="dxa"/>
            <w:vAlign w:val="bottom"/>
            <w:tcBorders>
              <w:bottom w:val="single" w:sz="8" w:color="002F4D"/>
            </w:tcBorders>
            <w:vMerge w:val="continue"/>
          </w:tcPr>
          <w:p>
            <w:pPr>
              <w:spacing w:after="0"/>
              <w:rPr>
                <w:sz w:val="7"/>
                <w:szCs w:val="7"/>
                <w:color w:val="auto"/>
              </w:rPr>
            </w:pPr>
          </w:p>
        </w:tc>
        <w:tc>
          <w:tcPr>
            <w:tcW w:w="800" w:type="dxa"/>
            <w:vAlign w:val="bottom"/>
            <w:tcBorders>
              <w:bottom w:val="single" w:sz="8" w:color="002F4D"/>
            </w:tcBorders>
          </w:tcPr>
          <w:p>
            <w:pPr>
              <w:spacing w:after="0"/>
              <w:rPr>
                <w:sz w:val="7"/>
                <w:szCs w:val="7"/>
                <w:color w:val="auto"/>
              </w:rPr>
            </w:pPr>
          </w:p>
        </w:tc>
        <w:tc>
          <w:tcPr>
            <w:tcW w:w="1120" w:type="dxa"/>
            <w:vAlign w:val="bottom"/>
            <w:tcBorders>
              <w:bottom w:val="single" w:sz="8" w:color="002F4D"/>
            </w:tcBorders>
          </w:tcPr>
          <w:p>
            <w:pPr>
              <w:spacing w:after="0"/>
              <w:rPr>
                <w:sz w:val="7"/>
                <w:szCs w:val="7"/>
                <w:color w:val="auto"/>
              </w:rPr>
            </w:pPr>
          </w:p>
        </w:tc>
        <w:tc>
          <w:tcPr>
            <w:tcW w:w="1460" w:type="dxa"/>
            <w:vAlign w:val="bottom"/>
            <w:tcBorders>
              <w:bottom w:val="single" w:sz="8" w:color="002F4D"/>
            </w:tcBorders>
          </w:tcPr>
          <w:p>
            <w:pPr>
              <w:spacing w:after="0"/>
              <w:rPr>
                <w:sz w:val="7"/>
                <w:szCs w:val="7"/>
                <w:color w:val="auto"/>
              </w:rPr>
            </w:pPr>
          </w:p>
        </w:tc>
        <w:tc>
          <w:tcPr>
            <w:tcW w:w="2120" w:type="dxa"/>
            <w:vAlign w:val="bottom"/>
            <w:tcBorders>
              <w:bottom w:val="single" w:sz="8" w:color="002F4D"/>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00" w:type="dxa"/>
            <w:vAlign w:val="bottom"/>
            <w:vMerge w:val="restart"/>
          </w:tcPr>
          <w:p>
            <w:pPr>
              <w:ind w:left="60"/>
              <w:spacing w:after="0"/>
              <w:rPr>
                <w:sz w:val="20"/>
                <w:szCs w:val="20"/>
                <w:color w:val="auto"/>
              </w:rPr>
            </w:pPr>
            <w:r>
              <w:rPr>
                <w:rFonts w:ascii="Arial" w:cs="Arial" w:eastAsia="Arial" w:hAnsi="Arial"/>
                <w:sz w:val="15"/>
                <w:szCs w:val="15"/>
                <w:b w:val="1"/>
                <w:bCs w:val="1"/>
                <w:color w:val="265E7C"/>
              </w:rPr>
              <w:t>Timothy J. FitzGerald</w:t>
            </w:r>
          </w:p>
        </w:tc>
        <w:tc>
          <w:tcPr>
            <w:tcW w:w="3740" w:type="dxa"/>
            <w:vAlign w:val="bottom"/>
          </w:tcPr>
          <w:p>
            <w:pPr>
              <w:ind w:left="300"/>
              <w:spacing w:after="0" w:line="171" w:lineRule="exact"/>
              <w:rPr>
                <w:sz w:val="20"/>
                <w:szCs w:val="20"/>
                <w:color w:val="auto"/>
              </w:rPr>
            </w:pPr>
            <w:r>
              <w:rPr>
                <w:rFonts w:ascii="Arial" w:cs="Arial" w:eastAsia="Arial" w:hAnsi="Arial"/>
                <w:sz w:val="15"/>
                <w:szCs w:val="15"/>
                <w:color w:val="231F20"/>
              </w:rPr>
              <w:t>Chief Executive Officer of The Middleby</w:t>
            </w:r>
          </w:p>
        </w:tc>
        <w:tc>
          <w:tcPr>
            <w:tcW w:w="800" w:type="dxa"/>
            <w:vAlign w:val="bottom"/>
            <w:vMerge w:val="restart"/>
          </w:tcPr>
          <w:p>
            <w:pPr>
              <w:jc w:val="center"/>
              <w:ind w:right="44"/>
              <w:spacing w:after="0"/>
              <w:rPr>
                <w:sz w:val="20"/>
                <w:szCs w:val="20"/>
                <w:color w:val="auto"/>
              </w:rPr>
            </w:pPr>
            <w:r>
              <w:rPr>
                <w:rFonts w:ascii="Arial" w:cs="Arial" w:eastAsia="Arial" w:hAnsi="Arial"/>
                <w:sz w:val="15"/>
                <w:szCs w:val="15"/>
                <w:color w:val="231F20"/>
                <w:w w:val="95"/>
              </w:rPr>
              <w:t>56</w:t>
            </w:r>
          </w:p>
        </w:tc>
        <w:tc>
          <w:tcPr>
            <w:tcW w:w="1120" w:type="dxa"/>
            <w:vAlign w:val="bottom"/>
            <w:vMerge w:val="restart"/>
          </w:tcPr>
          <w:p>
            <w:pPr>
              <w:jc w:val="center"/>
              <w:spacing w:after="0"/>
              <w:rPr>
                <w:sz w:val="20"/>
                <w:szCs w:val="20"/>
                <w:color w:val="auto"/>
              </w:rPr>
            </w:pPr>
            <w:r>
              <w:rPr>
                <w:rFonts w:ascii="Arial" w:cs="Arial" w:eastAsia="Arial" w:hAnsi="Arial"/>
                <w:sz w:val="15"/>
                <w:szCs w:val="15"/>
                <w:color w:val="231F20"/>
              </w:rPr>
              <w:t>2019</w:t>
            </w:r>
          </w:p>
        </w:tc>
        <w:tc>
          <w:tcPr>
            <w:tcW w:w="1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00" w:type="dxa"/>
            <w:vAlign w:val="bottom"/>
            <w:vMerge w:val="continue"/>
          </w:tcPr>
          <w:p>
            <w:pPr>
              <w:spacing w:after="0"/>
              <w:rPr>
                <w:sz w:val="10"/>
                <w:szCs w:val="10"/>
                <w:color w:val="auto"/>
              </w:rPr>
            </w:pPr>
          </w:p>
        </w:tc>
        <w:tc>
          <w:tcPr>
            <w:tcW w:w="3740" w:type="dxa"/>
            <w:vAlign w:val="bottom"/>
            <w:vMerge w:val="restart"/>
          </w:tcPr>
          <w:p>
            <w:pPr>
              <w:ind w:left="300"/>
              <w:spacing w:after="0"/>
              <w:rPr>
                <w:sz w:val="20"/>
                <w:szCs w:val="20"/>
                <w:color w:val="auto"/>
              </w:rPr>
            </w:pPr>
            <w:r>
              <w:rPr>
                <w:rFonts w:ascii="Arial" w:cs="Arial" w:eastAsia="Arial" w:hAnsi="Arial"/>
                <w:sz w:val="15"/>
                <w:szCs w:val="15"/>
                <w:color w:val="231F20"/>
              </w:rPr>
              <w:t>Corporation</w:t>
            </w:r>
          </w:p>
        </w:tc>
        <w:tc>
          <w:tcPr>
            <w:tcW w:w="80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000" w:type="dxa"/>
            <w:vAlign w:val="bottom"/>
            <w:tcBorders>
              <w:bottom w:val="single" w:sz="8" w:color="002F4D"/>
            </w:tcBorders>
          </w:tcPr>
          <w:p>
            <w:pPr>
              <w:spacing w:after="0"/>
              <w:rPr>
                <w:sz w:val="7"/>
                <w:szCs w:val="7"/>
                <w:color w:val="auto"/>
              </w:rPr>
            </w:pPr>
          </w:p>
        </w:tc>
        <w:tc>
          <w:tcPr>
            <w:tcW w:w="3740" w:type="dxa"/>
            <w:vAlign w:val="bottom"/>
            <w:tcBorders>
              <w:bottom w:val="single" w:sz="8" w:color="002F4D"/>
            </w:tcBorders>
            <w:vMerge w:val="continue"/>
          </w:tcPr>
          <w:p>
            <w:pPr>
              <w:spacing w:after="0"/>
              <w:rPr>
                <w:sz w:val="7"/>
                <w:szCs w:val="7"/>
                <w:color w:val="auto"/>
              </w:rPr>
            </w:pPr>
          </w:p>
        </w:tc>
        <w:tc>
          <w:tcPr>
            <w:tcW w:w="800" w:type="dxa"/>
            <w:vAlign w:val="bottom"/>
            <w:tcBorders>
              <w:bottom w:val="single" w:sz="8" w:color="002F4D"/>
            </w:tcBorders>
          </w:tcPr>
          <w:p>
            <w:pPr>
              <w:spacing w:after="0"/>
              <w:rPr>
                <w:sz w:val="7"/>
                <w:szCs w:val="7"/>
                <w:color w:val="auto"/>
              </w:rPr>
            </w:pPr>
          </w:p>
        </w:tc>
        <w:tc>
          <w:tcPr>
            <w:tcW w:w="1120" w:type="dxa"/>
            <w:vAlign w:val="bottom"/>
            <w:tcBorders>
              <w:bottom w:val="single" w:sz="8" w:color="002F4D"/>
            </w:tcBorders>
          </w:tcPr>
          <w:p>
            <w:pPr>
              <w:spacing w:after="0"/>
              <w:rPr>
                <w:sz w:val="7"/>
                <w:szCs w:val="7"/>
                <w:color w:val="auto"/>
              </w:rPr>
            </w:pPr>
          </w:p>
        </w:tc>
        <w:tc>
          <w:tcPr>
            <w:tcW w:w="1460" w:type="dxa"/>
            <w:vAlign w:val="bottom"/>
            <w:tcBorders>
              <w:bottom w:val="single" w:sz="8" w:color="002F4D"/>
            </w:tcBorders>
          </w:tcPr>
          <w:p>
            <w:pPr>
              <w:spacing w:after="0"/>
              <w:rPr>
                <w:sz w:val="7"/>
                <w:szCs w:val="7"/>
                <w:color w:val="auto"/>
              </w:rPr>
            </w:pPr>
          </w:p>
        </w:tc>
        <w:tc>
          <w:tcPr>
            <w:tcW w:w="2120" w:type="dxa"/>
            <w:vAlign w:val="bottom"/>
            <w:tcBorders>
              <w:bottom w:val="single" w:sz="8" w:color="002F4D"/>
            </w:tcBorders>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580" w:type="dxa"/>
            <w:vAlign w:val="bottom"/>
            <w:gridSpan w:val="2"/>
          </w:tcPr>
          <w:p>
            <w:pPr>
              <w:ind w:left="1360"/>
              <w:spacing w:after="0" w:line="171" w:lineRule="exact"/>
              <w:rPr>
                <w:sz w:val="20"/>
                <w:szCs w:val="20"/>
                <w:color w:val="auto"/>
              </w:rPr>
            </w:pPr>
            <w:r>
              <w:rPr>
                <w:rFonts w:ascii="Arial" w:cs="Arial" w:eastAsia="Arial" w:hAnsi="Arial"/>
                <w:sz w:val="15"/>
                <w:szCs w:val="15"/>
                <w:color w:val="265E7C"/>
              </w:rPr>
              <w:t xml:space="preserve">• </w:t>
            </w:r>
            <w:r>
              <w:rPr>
                <w:rFonts w:ascii="Arial" w:cs="Arial" w:eastAsia="Arial" w:hAnsi="Arial"/>
                <w:sz w:val="15"/>
                <w:szCs w:val="15"/>
                <w:color w:val="231F20"/>
              </w:rPr>
              <w:t>Compensation</w:t>
            </w:r>
          </w:p>
        </w:tc>
        <w:tc>
          <w:tcPr>
            <w:tcW w:w="0" w:type="dxa"/>
            <w:vAlign w:val="bottom"/>
          </w:tcPr>
          <w:p>
            <w:pPr>
              <w:spacing w:after="0"/>
              <w:rPr>
                <w:sz w:val="1"/>
                <w:szCs w:val="1"/>
                <w:color w:val="auto"/>
              </w:rPr>
            </w:pPr>
          </w:p>
        </w:tc>
      </w:tr>
      <w:tr>
        <w:trPr>
          <w:trHeight w:val="177"/>
        </w:trPr>
        <w:tc>
          <w:tcPr>
            <w:tcW w:w="2000" w:type="dxa"/>
            <w:vAlign w:val="bottom"/>
          </w:tcPr>
          <w:p>
            <w:pPr>
              <w:ind w:left="60"/>
              <w:spacing w:after="0"/>
              <w:rPr>
                <w:sz w:val="20"/>
                <w:szCs w:val="20"/>
                <w:color w:val="auto"/>
              </w:rPr>
            </w:pPr>
            <w:r>
              <w:rPr>
                <w:rFonts w:ascii="Arial" w:cs="Arial" w:eastAsia="Arial" w:hAnsi="Arial"/>
                <w:sz w:val="15"/>
                <w:szCs w:val="15"/>
                <w:b w:val="1"/>
                <w:bCs w:val="1"/>
                <w:color w:val="265E7C"/>
              </w:rPr>
              <w:t>Edward P. Garden</w:t>
            </w:r>
          </w:p>
        </w:tc>
        <w:tc>
          <w:tcPr>
            <w:tcW w:w="3740" w:type="dxa"/>
            <w:vAlign w:val="bottom"/>
          </w:tcPr>
          <w:p>
            <w:pPr>
              <w:ind w:left="300"/>
              <w:spacing w:after="0"/>
              <w:rPr>
                <w:sz w:val="20"/>
                <w:szCs w:val="20"/>
                <w:color w:val="auto"/>
              </w:rPr>
            </w:pPr>
            <w:r>
              <w:rPr>
                <w:rFonts w:ascii="Arial" w:cs="Arial" w:eastAsia="Arial" w:hAnsi="Arial"/>
                <w:sz w:val="15"/>
                <w:szCs w:val="15"/>
                <w:color w:val="231F20"/>
              </w:rPr>
              <w:t>Chairman and CEO of Garden Investments</w:t>
            </w:r>
          </w:p>
        </w:tc>
        <w:tc>
          <w:tcPr>
            <w:tcW w:w="800" w:type="dxa"/>
            <w:vAlign w:val="bottom"/>
          </w:tcPr>
          <w:p>
            <w:pPr>
              <w:jc w:val="center"/>
              <w:ind w:right="44"/>
              <w:spacing w:after="0"/>
              <w:rPr>
                <w:sz w:val="20"/>
                <w:szCs w:val="20"/>
                <w:color w:val="auto"/>
              </w:rPr>
            </w:pPr>
            <w:r>
              <w:rPr>
                <w:rFonts w:ascii="Arial" w:cs="Arial" w:eastAsia="Arial" w:hAnsi="Arial"/>
                <w:sz w:val="15"/>
                <w:szCs w:val="15"/>
                <w:color w:val="231F20"/>
                <w:w w:val="95"/>
              </w:rPr>
              <w:t>64</w:t>
            </w:r>
          </w:p>
        </w:tc>
        <w:tc>
          <w:tcPr>
            <w:tcW w:w="1120" w:type="dxa"/>
            <w:vAlign w:val="bottom"/>
          </w:tcPr>
          <w:p>
            <w:pPr>
              <w:jc w:val="center"/>
              <w:spacing w:after="0"/>
              <w:rPr>
                <w:sz w:val="20"/>
                <w:szCs w:val="20"/>
                <w:color w:val="auto"/>
              </w:rPr>
            </w:pPr>
            <w:r>
              <w:rPr>
                <w:rFonts w:ascii="Arial" w:cs="Arial" w:eastAsia="Arial" w:hAnsi="Arial"/>
                <w:sz w:val="15"/>
                <w:szCs w:val="15"/>
                <w:color w:val="231F20"/>
              </w:rPr>
              <w:t>2025</w:t>
            </w:r>
          </w:p>
        </w:tc>
        <w:tc>
          <w:tcPr>
            <w:tcW w:w="3580" w:type="dxa"/>
            <w:vAlign w:val="bottom"/>
            <w:gridSpan w:val="2"/>
          </w:tcPr>
          <w:p>
            <w:pPr>
              <w:ind w:left="1360"/>
              <w:spacing w:after="0"/>
              <w:rPr>
                <w:sz w:val="20"/>
                <w:szCs w:val="20"/>
                <w:color w:val="auto"/>
              </w:rPr>
            </w:pPr>
            <w:r>
              <w:rPr>
                <w:rFonts w:ascii="Arial" w:cs="Arial" w:eastAsia="Arial" w:hAnsi="Arial"/>
                <w:sz w:val="15"/>
                <w:szCs w:val="15"/>
                <w:color w:val="265E7C"/>
              </w:rPr>
              <w:t xml:space="preserve">• </w:t>
            </w:r>
            <w:r>
              <w:rPr>
                <w:rFonts w:ascii="Arial" w:cs="Arial" w:eastAsia="Arial" w:hAnsi="Arial"/>
                <w:sz w:val="15"/>
                <w:szCs w:val="15"/>
                <w:color w:val="231F20"/>
              </w:rPr>
              <w:t>Nominating and Corporate</w:t>
            </w:r>
          </w:p>
        </w:tc>
        <w:tc>
          <w:tcPr>
            <w:tcW w:w="0" w:type="dxa"/>
            <w:vAlign w:val="bottom"/>
          </w:tcPr>
          <w:p>
            <w:pPr>
              <w:spacing w:after="0"/>
              <w:rPr>
                <w:sz w:val="1"/>
                <w:szCs w:val="1"/>
                <w:color w:val="auto"/>
              </w:rPr>
            </w:pPr>
          </w:p>
        </w:tc>
      </w:tr>
      <w:tr>
        <w:trPr>
          <w:trHeight w:val="200"/>
        </w:trPr>
        <w:tc>
          <w:tcPr>
            <w:tcW w:w="2000" w:type="dxa"/>
            <w:vAlign w:val="bottom"/>
            <w:tcBorders>
              <w:bottom w:val="single" w:sz="8" w:color="002F4D"/>
            </w:tcBorders>
          </w:tcPr>
          <w:p>
            <w:pPr>
              <w:spacing w:after="0"/>
              <w:rPr>
                <w:sz w:val="17"/>
                <w:szCs w:val="17"/>
                <w:color w:val="auto"/>
              </w:rPr>
            </w:pPr>
          </w:p>
        </w:tc>
        <w:tc>
          <w:tcPr>
            <w:tcW w:w="3740" w:type="dxa"/>
            <w:vAlign w:val="bottom"/>
            <w:tcBorders>
              <w:bottom w:val="single" w:sz="8" w:color="002F4D"/>
            </w:tcBorders>
          </w:tcPr>
          <w:p>
            <w:pPr>
              <w:spacing w:after="0"/>
              <w:rPr>
                <w:sz w:val="17"/>
                <w:szCs w:val="17"/>
                <w:color w:val="auto"/>
              </w:rPr>
            </w:pPr>
          </w:p>
        </w:tc>
        <w:tc>
          <w:tcPr>
            <w:tcW w:w="800" w:type="dxa"/>
            <w:vAlign w:val="bottom"/>
            <w:tcBorders>
              <w:bottom w:val="single" w:sz="8" w:color="002F4D"/>
            </w:tcBorders>
          </w:tcPr>
          <w:p>
            <w:pPr>
              <w:spacing w:after="0"/>
              <w:rPr>
                <w:sz w:val="17"/>
                <w:szCs w:val="17"/>
                <w:color w:val="auto"/>
              </w:rPr>
            </w:pPr>
          </w:p>
        </w:tc>
        <w:tc>
          <w:tcPr>
            <w:tcW w:w="1120" w:type="dxa"/>
            <w:vAlign w:val="bottom"/>
            <w:tcBorders>
              <w:bottom w:val="single" w:sz="8" w:color="002F4D"/>
            </w:tcBorders>
          </w:tcPr>
          <w:p>
            <w:pPr>
              <w:spacing w:after="0"/>
              <w:rPr>
                <w:sz w:val="17"/>
                <w:szCs w:val="17"/>
                <w:color w:val="auto"/>
              </w:rPr>
            </w:pPr>
          </w:p>
        </w:tc>
        <w:tc>
          <w:tcPr>
            <w:tcW w:w="1460" w:type="dxa"/>
            <w:vAlign w:val="bottom"/>
            <w:tcBorders>
              <w:bottom w:val="single" w:sz="8" w:color="002F4D"/>
            </w:tcBorders>
          </w:tcPr>
          <w:p>
            <w:pPr>
              <w:spacing w:after="0"/>
              <w:rPr>
                <w:sz w:val="17"/>
                <w:szCs w:val="17"/>
                <w:color w:val="auto"/>
              </w:rPr>
            </w:pPr>
          </w:p>
        </w:tc>
        <w:tc>
          <w:tcPr>
            <w:tcW w:w="2120" w:type="dxa"/>
            <w:vAlign w:val="bottom"/>
            <w:tcBorders>
              <w:bottom w:val="single" w:sz="8" w:color="002F4D"/>
            </w:tcBorders>
          </w:tcPr>
          <w:p>
            <w:pPr>
              <w:ind w:left="40"/>
              <w:spacing w:after="0"/>
              <w:rPr>
                <w:sz w:val="20"/>
                <w:szCs w:val="20"/>
                <w:color w:val="auto"/>
              </w:rPr>
            </w:pPr>
            <w:r>
              <w:rPr>
                <w:rFonts w:ascii="Arial" w:cs="Arial" w:eastAsia="Arial" w:hAnsi="Arial"/>
                <w:sz w:val="15"/>
                <w:szCs w:val="15"/>
                <w:color w:val="231F20"/>
              </w:rPr>
              <w:t>Governance</w:t>
            </w:r>
          </w:p>
        </w:tc>
        <w:tc>
          <w:tcPr>
            <w:tcW w:w="0" w:type="dxa"/>
            <w:vAlign w:val="bottom"/>
          </w:tcPr>
          <w:p>
            <w:pPr>
              <w:spacing w:after="0"/>
              <w:rPr>
                <w:sz w:val="1"/>
                <w:szCs w:val="1"/>
                <w:color w:val="auto"/>
              </w:rPr>
            </w:pPr>
          </w:p>
        </w:tc>
      </w:tr>
      <w:tr>
        <w:trPr>
          <w:trHeight w:val="239"/>
        </w:trPr>
        <w:tc>
          <w:tcPr>
            <w:tcW w:w="2000" w:type="dxa"/>
            <w:vAlign w:val="bottom"/>
          </w:tcPr>
          <w:p>
            <w:pPr>
              <w:ind w:left="60"/>
              <w:spacing w:after="0"/>
              <w:rPr>
                <w:sz w:val="20"/>
                <w:szCs w:val="20"/>
                <w:color w:val="auto"/>
              </w:rPr>
            </w:pPr>
            <w:r>
              <w:rPr>
                <w:rFonts w:ascii="Arial" w:cs="Arial" w:eastAsia="Arial" w:hAnsi="Arial"/>
                <w:sz w:val="15"/>
                <w:szCs w:val="15"/>
                <w:b w:val="1"/>
                <w:bCs w:val="1"/>
                <w:color w:val="265E7C"/>
              </w:rPr>
              <w:t>Christopher M. Hix</w:t>
            </w:r>
          </w:p>
        </w:tc>
        <w:tc>
          <w:tcPr>
            <w:tcW w:w="3740" w:type="dxa"/>
            <w:vAlign w:val="bottom"/>
          </w:tcPr>
          <w:p>
            <w:pPr>
              <w:ind w:left="300"/>
              <w:spacing w:after="0"/>
              <w:rPr>
                <w:sz w:val="20"/>
                <w:szCs w:val="20"/>
                <w:color w:val="auto"/>
              </w:rPr>
            </w:pPr>
            <w:r>
              <w:rPr>
                <w:rFonts w:ascii="Arial" w:cs="Arial" w:eastAsia="Arial" w:hAnsi="Arial"/>
                <w:sz w:val="15"/>
                <w:szCs w:val="15"/>
                <w:color w:val="231F20"/>
              </w:rPr>
              <w:t>Former EVP and CFO of Enovis Corporation</w:t>
            </w:r>
          </w:p>
        </w:tc>
        <w:tc>
          <w:tcPr>
            <w:tcW w:w="800" w:type="dxa"/>
            <w:vAlign w:val="bottom"/>
          </w:tcPr>
          <w:p>
            <w:pPr>
              <w:jc w:val="center"/>
              <w:ind w:right="44"/>
              <w:spacing w:after="0"/>
              <w:rPr>
                <w:sz w:val="20"/>
                <w:szCs w:val="20"/>
                <w:color w:val="auto"/>
              </w:rPr>
            </w:pPr>
            <w:r>
              <w:rPr>
                <w:rFonts w:ascii="Arial" w:cs="Arial" w:eastAsia="Arial" w:hAnsi="Arial"/>
                <w:sz w:val="15"/>
                <w:szCs w:val="15"/>
                <w:color w:val="231F20"/>
                <w:w w:val="95"/>
              </w:rPr>
              <w:t>64</w:t>
            </w:r>
          </w:p>
        </w:tc>
        <w:tc>
          <w:tcPr>
            <w:tcW w:w="1120" w:type="dxa"/>
            <w:vAlign w:val="bottom"/>
          </w:tcPr>
          <w:p>
            <w:pPr>
              <w:jc w:val="center"/>
              <w:spacing w:after="0"/>
              <w:rPr>
                <w:sz w:val="20"/>
                <w:szCs w:val="20"/>
                <w:color w:val="auto"/>
              </w:rPr>
            </w:pPr>
            <w:r>
              <w:rPr>
                <w:rFonts w:ascii="Arial" w:cs="Arial" w:eastAsia="Arial" w:hAnsi="Arial"/>
                <w:sz w:val="15"/>
                <w:szCs w:val="15"/>
                <w:color w:val="231F20"/>
              </w:rPr>
              <w:t>2026</w:t>
            </w:r>
          </w:p>
        </w:tc>
        <w:tc>
          <w:tcPr>
            <w:tcW w:w="3580" w:type="dxa"/>
            <w:vAlign w:val="bottom"/>
            <w:gridSpan w:val="2"/>
          </w:tcPr>
          <w:p>
            <w:pPr>
              <w:ind w:left="1360"/>
              <w:spacing w:after="0"/>
              <w:rPr>
                <w:sz w:val="20"/>
                <w:szCs w:val="20"/>
                <w:color w:val="auto"/>
              </w:rPr>
            </w:pPr>
            <w:r>
              <w:rPr>
                <w:rFonts w:ascii="Arial" w:cs="Arial" w:eastAsia="Arial" w:hAnsi="Arial"/>
                <w:sz w:val="15"/>
                <w:szCs w:val="15"/>
                <w:color w:val="265E7C"/>
              </w:rPr>
              <w:t xml:space="preserve">• </w:t>
            </w:r>
            <w:r>
              <w:rPr>
                <w:rFonts w:ascii="Arial" w:cs="Arial" w:eastAsia="Arial" w:hAnsi="Arial"/>
                <w:sz w:val="15"/>
                <w:szCs w:val="15"/>
                <w:color w:val="231F20"/>
              </w:rPr>
              <w:t>Audit*</w:t>
            </w:r>
          </w:p>
        </w:tc>
        <w:tc>
          <w:tcPr>
            <w:tcW w:w="0" w:type="dxa"/>
            <w:vAlign w:val="bottom"/>
          </w:tcPr>
          <w:p>
            <w:pPr>
              <w:spacing w:after="0"/>
              <w:rPr>
                <w:sz w:val="1"/>
                <w:szCs w:val="1"/>
                <w:color w:val="auto"/>
              </w:rPr>
            </w:pPr>
          </w:p>
        </w:tc>
      </w:tr>
      <w:tr>
        <w:trPr>
          <w:trHeight w:val="32"/>
        </w:trPr>
        <w:tc>
          <w:tcPr>
            <w:tcW w:w="2000" w:type="dxa"/>
            <w:vAlign w:val="bottom"/>
            <w:tcBorders>
              <w:bottom w:val="single" w:sz="8" w:color="002F4D"/>
            </w:tcBorders>
          </w:tcPr>
          <w:p>
            <w:pPr>
              <w:spacing w:after="0"/>
              <w:rPr>
                <w:sz w:val="2"/>
                <w:szCs w:val="2"/>
                <w:color w:val="auto"/>
              </w:rPr>
            </w:pPr>
          </w:p>
        </w:tc>
        <w:tc>
          <w:tcPr>
            <w:tcW w:w="3740" w:type="dxa"/>
            <w:vAlign w:val="bottom"/>
            <w:tcBorders>
              <w:bottom w:val="single" w:sz="8" w:color="002F4D"/>
            </w:tcBorders>
          </w:tcPr>
          <w:p>
            <w:pPr>
              <w:spacing w:after="0"/>
              <w:rPr>
                <w:sz w:val="2"/>
                <w:szCs w:val="2"/>
                <w:color w:val="auto"/>
              </w:rPr>
            </w:pPr>
          </w:p>
        </w:tc>
        <w:tc>
          <w:tcPr>
            <w:tcW w:w="800" w:type="dxa"/>
            <w:vAlign w:val="bottom"/>
            <w:tcBorders>
              <w:bottom w:val="single" w:sz="8" w:color="002F4D"/>
            </w:tcBorders>
          </w:tcPr>
          <w:p>
            <w:pPr>
              <w:spacing w:after="0"/>
              <w:rPr>
                <w:sz w:val="2"/>
                <w:szCs w:val="2"/>
                <w:color w:val="auto"/>
              </w:rPr>
            </w:pPr>
          </w:p>
        </w:tc>
        <w:tc>
          <w:tcPr>
            <w:tcW w:w="1120" w:type="dxa"/>
            <w:vAlign w:val="bottom"/>
            <w:tcBorders>
              <w:bottom w:val="single" w:sz="8" w:color="002F4D"/>
            </w:tcBorders>
          </w:tcPr>
          <w:p>
            <w:pPr>
              <w:spacing w:after="0"/>
              <w:rPr>
                <w:sz w:val="2"/>
                <w:szCs w:val="2"/>
                <w:color w:val="auto"/>
              </w:rPr>
            </w:pPr>
          </w:p>
        </w:tc>
        <w:tc>
          <w:tcPr>
            <w:tcW w:w="1460" w:type="dxa"/>
            <w:vAlign w:val="bottom"/>
            <w:tcBorders>
              <w:bottom w:val="single" w:sz="8" w:color="002F4D"/>
            </w:tcBorders>
          </w:tcPr>
          <w:p>
            <w:pPr>
              <w:spacing w:after="0"/>
              <w:rPr>
                <w:sz w:val="2"/>
                <w:szCs w:val="2"/>
                <w:color w:val="auto"/>
              </w:rPr>
            </w:pPr>
          </w:p>
        </w:tc>
        <w:tc>
          <w:tcPr>
            <w:tcW w:w="2120" w:type="dxa"/>
            <w:vAlign w:val="bottom"/>
            <w:tcBorders>
              <w:bottom w:val="single" w:sz="8" w:color="002F4D"/>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000" w:type="dxa"/>
            <w:vAlign w:val="bottom"/>
          </w:tcPr>
          <w:p>
            <w:pPr>
              <w:spacing w:after="0"/>
              <w:rPr>
                <w:sz w:val="14"/>
                <w:szCs w:val="14"/>
                <w:color w:val="auto"/>
              </w:rPr>
            </w:pPr>
          </w:p>
        </w:tc>
        <w:tc>
          <w:tcPr>
            <w:tcW w:w="3740" w:type="dxa"/>
            <w:vAlign w:val="bottom"/>
            <w:vMerge w:val="restart"/>
          </w:tcPr>
          <w:p>
            <w:pPr>
              <w:ind w:left="300"/>
              <w:spacing w:after="0"/>
              <w:rPr>
                <w:sz w:val="20"/>
                <w:szCs w:val="20"/>
                <w:color w:val="auto"/>
              </w:rPr>
            </w:pPr>
            <w:r>
              <w:rPr>
                <w:rFonts w:ascii="Arial" w:cs="Arial" w:eastAsia="Arial" w:hAnsi="Arial"/>
                <w:sz w:val="15"/>
                <w:szCs w:val="15"/>
                <w:color w:val="231F20"/>
              </w:rPr>
              <w:t>President and Chief Executive Officer of Cross</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ind w:left="1360"/>
              <w:spacing w:after="0" w:line="170" w:lineRule="exact"/>
              <w:rPr>
                <w:sz w:val="20"/>
                <w:szCs w:val="20"/>
                <w:color w:val="auto"/>
              </w:rPr>
            </w:pPr>
            <w:r>
              <w:rPr>
                <w:rFonts w:ascii="Arial" w:cs="Arial" w:eastAsia="Arial" w:hAnsi="Arial"/>
                <w:sz w:val="15"/>
                <w:szCs w:val="15"/>
                <w:color w:val="265E7C"/>
              </w:rPr>
              <w:t>•</w:t>
            </w:r>
          </w:p>
        </w:tc>
        <w:tc>
          <w:tcPr>
            <w:tcW w:w="2120" w:type="dxa"/>
            <w:vAlign w:val="bottom"/>
          </w:tcPr>
          <w:p>
            <w:pPr>
              <w:ind w:left="40"/>
              <w:spacing w:after="0" w:line="170" w:lineRule="exact"/>
              <w:rPr>
                <w:sz w:val="20"/>
                <w:szCs w:val="20"/>
                <w:color w:val="auto"/>
              </w:rPr>
            </w:pPr>
            <w:r>
              <w:rPr>
                <w:rFonts w:ascii="Arial" w:cs="Arial" w:eastAsia="Arial" w:hAnsi="Arial"/>
                <w:sz w:val="15"/>
                <w:szCs w:val="15"/>
                <w:color w:val="231F20"/>
              </w:rPr>
              <w:t>Audit (chair)*</w:t>
            </w:r>
          </w:p>
        </w:tc>
        <w:tc>
          <w:tcPr>
            <w:tcW w:w="0" w:type="dxa"/>
            <w:vAlign w:val="bottom"/>
          </w:tcPr>
          <w:p>
            <w:pPr>
              <w:spacing w:after="0"/>
              <w:rPr>
                <w:sz w:val="1"/>
                <w:szCs w:val="1"/>
                <w:color w:val="auto"/>
              </w:rPr>
            </w:pPr>
          </w:p>
        </w:tc>
      </w:tr>
      <w:tr>
        <w:trPr>
          <w:trHeight w:val="88"/>
        </w:trPr>
        <w:tc>
          <w:tcPr>
            <w:tcW w:w="2000" w:type="dxa"/>
            <w:vAlign w:val="bottom"/>
            <w:vMerge w:val="restart"/>
          </w:tcPr>
          <w:p>
            <w:pPr>
              <w:ind w:left="60"/>
              <w:spacing w:after="0"/>
              <w:rPr>
                <w:sz w:val="20"/>
                <w:szCs w:val="20"/>
                <w:color w:val="auto"/>
              </w:rPr>
            </w:pPr>
            <w:r>
              <w:rPr>
                <w:rFonts w:ascii="Arial" w:cs="Arial" w:eastAsia="Arial" w:hAnsi="Arial"/>
                <w:sz w:val="15"/>
                <w:szCs w:val="15"/>
                <w:b w:val="1"/>
                <w:bCs w:val="1"/>
                <w:color w:val="265E7C"/>
              </w:rPr>
              <w:t>Cathy L. McCarthy</w:t>
            </w:r>
          </w:p>
        </w:tc>
        <w:tc>
          <w:tcPr>
            <w:tcW w:w="3740" w:type="dxa"/>
            <w:vAlign w:val="bottom"/>
            <w:vMerge w:val="continue"/>
          </w:tcPr>
          <w:p>
            <w:pPr>
              <w:spacing w:after="0"/>
              <w:rPr>
                <w:sz w:val="7"/>
                <w:szCs w:val="7"/>
                <w:color w:val="auto"/>
              </w:rPr>
            </w:pPr>
          </w:p>
        </w:tc>
        <w:tc>
          <w:tcPr>
            <w:tcW w:w="800" w:type="dxa"/>
            <w:vAlign w:val="bottom"/>
            <w:vMerge w:val="restart"/>
          </w:tcPr>
          <w:p>
            <w:pPr>
              <w:jc w:val="center"/>
              <w:ind w:right="44"/>
              <w:spacing w:after="0"/>
              <w:rPr>
                <w:sz w:val="20"/>
                <w:szCs w:val="20"/>
                <w:color w:val="auto"/>
              </w:rPr>
            </w:pPr>
            <w:r>
              <w:rPr>
                <w:rFonts w:ascii="Arial" w:cs="Arial" w:eastAsia="Arial" w:hAnsi="Arial"/>
                <w:sz w:val="15"/>
                <w:szCs w:val="15"/>
                <w:color w:val="231F20"/>
                <w:w w:val="95"/>
              </w:rPr>
              <w:t>78</w:t>
            </w:r>
          </w:p>
        </w:tc>
        <w:tc>
          <w:tcPr>
            <w:tcW w:w="1120" w:type="dxa"/>
            <w:vAlign w:val="bottom"/>
            <w:vMerge w:val="restart"/>
          </w:tcPr>
          <w:p>
            <w:pPr>
              <w:jc w:val="center"/>
              <w:spacing w:after="0"/>
              <w:rPr>
                <w:sz w:val="20"/>
                <w:szCs w:val="20"/>
                <w:color w:val="auto"/>
              </w:rPr>
            </w:pPr>
            <w:r>
              <w:rPr>
                <w:rFonts w:ascii="Arial" w:cs="Arial" w:eastAsia="Arial" w:hAnsi="Arial"/>
                <w:sz w:val="15"/>
                <w:szCs w:val="15"/>
                <w:color w:val="231F20"/>
              </w:rPr>
              <w:t>2015</w:t>
            </w:r>
          </w:p>
        </w:tc>
        <w:tc>
          <w:tcPr>
            <w:tcW w:w="3580" w:type="dxa"/>
            <w:vAlign w:val="bottom"/>
            <w:gridSpan w:val="2"/>
            <w:vMerge w:val="restart"/>
          </w:tcPr>
          <w:p>
            <w:pPr>
              <w:ind w:left="1360"/>
              <w:spacing w:after="0"/>
              <w:rPr>
                <w:sz w:val="20"/>
                <w:szCs w:val="20"/>
                <w:color w:val="auto"/>
              </w:rPr>
            </w:pPr>
            <w:r>
              <w:rPr>
                <w:rFonts w:ascii="Arial" w:cs="Arial" w:eastAsia="Arial" w:hAnsi="Arial"/>
                <w:sz w:val="15"/>
                <w:szCs w:val="15"/>
                <w:color w:val="265E7C"/>
              </w:rPr>
              <w:t xml:space="preserve">• </w:t>
            </w:r>
            <w:r>
              <w:rPr>
                <w:rFonts w:ascii="Arial" w:cs="Arial" w:eastAsia="Arial" w:hAnsi="Arial"/>
                <w:sz w:val="15"/>
                <w:szCs w:val="15"/>
                <w:color w:val="231F20"/>
              </w:rPr>
              <w:t>Nominating and Corporate</w:t>
            </w:r>
          </w:p>
        </w:tc>
        <w:tc>
          <w:tcPr>
            <w:tcW w:w="0" w:type="dxa"/>
            <w:vAlign w:val="bottom"/>
          </w:tcPr>
          <w:p>
            <w:pPr>
              <w:spacing w:after="0"/>
              <w:rPr>
                <w:sz w:val="1"/>
                <w:szCs w:val="1"/>
                <w:color w:val="auto"/>
              </w:rPr>
            </w:pPr>
          </w:p>
        </w:tc>
      </w:tr>
      <w:tr>
        <w:trPr>
          <w:trHeight w:val="88"/>
        </w:trPr>
        <w:tc>
          <w:tcPr>
            <w:tcW w:w="2000" w:type="dxa"/>
            <w:vAlign w:val="bottom"/>
            <w:vMerge w:val="continue"/>
          </w:tcPr>
          <w:p>
            <w:pPr>
              <w:spacing w:after="0"/>
              <w:rPr>
                <w:sz w:val="7"/>
                <w:szCs w:val="7"/>
                <w:color w:val="auto"/>
              </w:rPr>
            </w:pPr>
          </w:p>
        </w:tc>
        <w:tc>
          <w:tcPr>
            <w:tcW w:w="3740" w:type="dxa"/>
            <w:vAlign w:val="bottom"/>
            <w:vMerge w:val="restart"/>
          </w:tcPr>
          <w:p>
            <w:pPr>
              <w:ind w:left="300"/>
              <w:spacing w:after="0"/>
              <w:rPr>
                <w:sz w:val="20"/>
                <w:szCs w:val="20"/>
                <w:color w:val="auto"/>
              </w:rPr>
            </w:pPr>
            <w:r>
              <w:rPr>
                <w:rFonts w:ascii="Arial" w:cs="Arial" w:eastAsia="Arial" w:hAnsi="Arial"/>
                <w:sz w:val="15"/>
                <w:szCs w:val="15"/>
                <w:color w:val="231F20"/>
              </w:rPr>
              <w:t>Tack Consulting, Inc.</w:t>
            </w:r>
          </w:p>
        </w:tc>
        <w:tc>
          <w:tcPr>
            <w:tcW w:w="80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35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000" w:type="dxa"/>
            <w:vAlign w:val="bottom"/>
          </w:tcPr>
          <w:p>
            <w:pPr>
              <w:spacing w:after="0"/>
              <w:rPr>
                <w:sz w:val="9"/>
                <w:szCs w:val="9"/>
                <w:color w:val="auto"/>
              </w:rPr>
            </w:pPr>
          </w:p>
        </w:tc>
        <w:tc>
          <w:tcPr>
            <w:tcW w:w="374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120" w:type="dxa"/>
            <w:vAlign w:val="bottom"/>
            <w:vMerge w:val="restart"/>
          </w:tcPr>
          <w:p>
            <w:pPr>
              <w:ind w:left="40"/>
              <w:spacing w:after="0"/>
              <w:rPr>
                <w:sz w:val="20"/>
                <w:szCs w:val="20"/>
                <w:color w:val="auto"/>
              </w:rPr>
            </w:pPr>
            <w:r>
              <w:rPr>
                <w:rFonts w:ascii="Arial" w:cs="Arial" w:eastAsia="Arial" w:hAnsi="Arial"/>
                <w:sz w:val="15"/>
                <w:szCs w:val="15"/>
                <w:color w:val="231F20"/>
              </w:rPr>
              <w:t>Governance</w:t>
            </w:r>
          </w:p>
        </w:tc>
        <w:tc>
          <w:tcPr>
            <w:tcW w:w="0" w:type="dxa"/>
            <w:vAlign w:val="bottom"/>
          </w:tcPr>
          <w:p>
            <w:pPr>
              <w:spacing w:after="0"/>
              <w:rPr>
                <w:sz w:val="1"/>
                <w:szCs w:val="1"/>
                <w:color w:val="auto"/>
              </w:rPr>
            </w:pPr>
          </w:p>
        </w:tc>
      </w:tr>
      <w:tr>
        <w:trPr>
          <w:trHeight w:val="90"/>
        </w:trPr>
        <w:tc>
          <w:tcPr>
            <w:tcW w:w="2000" w:type="dxa"/>
            <w:vAlign w:val="bottom"/>
            <w:tcBorders>
              <w:bottom w:val="single" w:sz="8" w:color="002F4D"/>
            </w:tcBorders>
          </w:tcPr>
          <w:p>
            <w:pPr>
              <w:spacing w:after="0"/>
              <w:rPr>
                <w:sz w:val="7"/>
                <w:szCs w:val="7"/>
                <w:color w:val="auto"/>
              </w:rPr>
            </w:pPr>
          </w:p>
        </w:tc>
        <w:tc>
          <w:tcPr>
            <w:tcW w:w="3740" w:type="dxa"/>
            <w:vAlign w:val="bottom"/>
            <w:tcBorders>
              <w:bottom w:val="single" w:sz="8" w:color="002F4D"/>
            </w:tcBorders>
          </w:tcPr>
          <w:p>
            <w:pPr>
              <w:spacing w:after="0"/>
              <w:rPr>
                <w:sz w:val="7"/>
                <w:szCs w:val="7"/>
                <w:color w:val="auto"/>
              </w:rPr>
            </w:pPr>
          </w:p>
        </w:tc>
        <w:tc>
          <w:tcPr>
            <w:tcW w:w="800" w:type="dxa"/>
            <w:vAlign w:val="bottom"/>
            <w:tcBorders>
              <w:bottom w:val="single" w:sz="8" w:color="002F4D"/>
            </w:tcBorders>
          </w:tcPr>
          <w:p>
            <w:pPr>
              <w:spacing w:after="0"/>
              <w:rPr>
                <w:sz w:val="7"/>
                <w:szCs w:val="7"/>
                <w:color w:val="auto"/>
              </w:rPr>
            </w:pPr>
          </w:p>
        </w:tc>
        <w:tc>
          <w:tcPr>
            <w:tcW w:w="1120" w:type="dxa"/>
            <w:vAlign w:val="bottom"/>
            <w:tcBorders>
              <w:bottom w:val="single" w:sz="8" w:color="002F4D"/>
            </w:tcBorders>
          </w:tcPr>
          <w:p>
            <w:pPr>
              <w:spacing w:after="0"/>
              <w:rPr>
                <w:sz w:val="7"/>
                <w:szCs w:val="7"/>
                <w:color w:val="auto"/>
              </w:rPr>
            </w:pPr>
          </w:p>
        </w:tc>
        <w:tc>
          <w:tcPr>
            <w:tcW w:w="1460" w:type="dxa"/>
            <w:vAlign w:val="bottom"/>
            <w:tcBorders>
              <w:bottom w:val="single" w:sz="8" w:color="002F4D"/>
            </w:tcBorders>
          </w:tcPr>
          <w:p>
            <w:pPr>
              <w:spacing w:after="0"/>
              <w:rPr>
                <w:sz w:val="7"/>
                <w:szCs w:val="7"/>
                <w:color w:val="auto"/>
              </w:rPr>
            </w:pPr>
          </w:p>
        </w:tc>
        <w:tc>
          <w:tcPr>
            <w:tcW w:w="2120" w:type="dxa"/>
            <w:vAlign w:val="bottom"/>
            <w:tcBorders>
              <w:bottom w:val="single" w:sz="8" w:color="002F4D"/>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00" w:type="dxa"/>
            <w:vAlign w:val="bottom"/>
            <w:vMerge w:val="restart"/>
          </w:tcPr>
          <w:p>
            <w:pPr>
              <w:ind w:left="60"/>
              <w:spacing w:after="0"/>
              <w:rPr>
                <w:sz w:val="20"/>
                <w:szCs w:val="20"/>
                <w:color w:val="auto"/>
              </w:rPr>
            </w:pPr>
            <w:r>
              <w:rPr>
                <w:rFonts w:ascii="Arial" w:cs="Arial" w:eastAsia="Arial" w:hAnsi="Arial"/>
                <w:sz w:val="15"/>
                <w:szCs w:val="15"/>
                <w:b w:val="1"/>
                <w:bCs w:val="1"/>
                <w:color w:val="265E7C"/>
              </w:rPr>
              <w:t>Robert A. Nerbonne</w:t>
            </w:r>
          </w:p>
        </w:tc>
        <w:tc>
          <w:tcPr>
            <w:tcW w:w="3740" w:type="dxa"/>
            <w:vAlign w:val="bottom"/>
          </w:tcPr>
          <w:p>
            <w:pPr>
              <w:ind w:left="300"/>
              <w:spacing w:after="0" w:line="171" w:lineRule="exact"/>
              <w:rPr>
                <w:sz w:val="20"/>
                <w:szCs w:val="20"/>
                <w:color w:val="auto"/>
              </w:rPr>
            </w:pPr>
            <w:r>
              <w:rPr>
                <w:rFonts w:ascii="Arial" w:cs="Arial" w:eastAsia="Arial" w:hAnsi="Arial"/>
                <w:sz w:val="15"/>
                <w:szCs w:val="15"/>
                <w:color w:val="231F20"/>
              </w:rPr>
              <w:t>Former CEO and President of multiple</w:t>
            </w:r>
          </w:p>
        </w:tc>
        <w:tc>
          <w:tcPr>
            <w:tcW w:w="800" w:type="dxa"/>
            <w:vAlign w:val="bottom"/>
            <w:vMerge w:val="restart"/>
          </w:tcPr>
          <w:p>
            <w:pPr>
              <w:jc w:val="center"/>
              <w:ind w:right="44"/>
              <w:spacing w:after="0"/>
              <w:rPr>
                <w:sz w:val="20"/>
                <w:szCs w:val="20"/>
                <w:color w:val="auto"/>
              </w:rPr>
            </w:pPr>
            <w:r>
              <w:rPr>
                <w:rFonts w:ascii="Arial" w:cs="Arial" w:eastAsia="Arial" w:hAnsi="Arial"/>
                <w:sz w:val="15"/>
                <w:szCs w:val="15"/>
                <w:color w:val="231F20"/>
                <w:w w:val="95"/>
              </w:rPr>
              <w:t>68</w:t>
            </w:r>
          </w:p>
        </w:tc>
        <w:tc>
          <w:tcPr>
            <w:tcW w:w="1120" w:type="dxa"/>
            <w:vAlign w:val="bottom"/>
            <w:vMerge w:val="restart"/>
          </w:tcPr>
          <w:p>
            <w:pPr>
              <w:jc w:val="center"/>
              <w:spacing w:after="0"/>
              <w:rPr>
                <w:sz w:val="20"/>
                <w:szCs w:val="20"/>
                <w:color w:val="auto"/>
              </w:rPr>
            </w:pPr>
            <w:r>
              <w:rPr>
                <w:rFonts w:ascii="Arial" w:cs="Arial" w:eastAsia="Arial" w:hAnsi="Arial"/>
                <w:sz w:val="15"/>
                <w:szCs w:val="15"/>
                <w:color w:val="231F20"/>
              </w:rPr>
              <w:t>2019</w:t>
            </w:r>
          </w:p>
        </w:tc>
        <w:tc>
          <w:tcPr>
            <w:tcW w:w="1460" w:type="dxa"/>
            <w:vAlign w:val="bottom"/>
          </w:tcPr>
          <w:p>
            <w:pPr>
              <w:ind w:left="1360"/>
              <w:spacing w:after="0" w:line="171" w:lineRule="exact"/>
              <w:rPr>
                <w:sz w:val="20"/>
                <w:szCs w:val="20"/>
                <w:color w:val="auto"/>
              </w:rPr>
            </w:pPr>
            <w:r>
              <w:rPr>
                <w:rFonts w:ascii="Arial" w:cs="Arial" w:eastAsia="Arial" w:hAnsi="Arial"/>
                <w:sz w:val="15"/>
                <w:szCs w:val="15"/>
                <w:color w:val="265E7C"/>
              </w:rPr>
              <w:t>•</w:t>
            </w:r>
          </w:p>
        </w:tc>
        <w:tc>
          <w:tcPr>
            <w:tcW w:w="2120" w:type="dxa"/>
            <w:vAlign w:val="bottom"/>
          </w:tcPr>
          <w:p>
            <w:pPr>
              <w:ind w:left="40"/>
              <w:spacing w:after="0" w:line="171" w:lineRule="exact"/>
              <w:rPr>
                <w:sz w:val="20"/>
                <w:szCs w:val="20"/>
                <w:color w:val="auto"/>
              </w:rPr>
            </w:pPr>
            <w:r>
              <w:rPr>
                <w:rFonts w:ascii="Arial" w:cs="Arial" w:eastAsia="Arial" w:hAnsi="Arial"/>
                <w:sz w:val="15"/>
                <w:szCs w:val="15"/>
                <w:color w:val="231F20"/>
              </w:rPr>
              <w:t>Nominating and Corporate</w:t>
            </w:r>
          </w:p>
        </w:tc>
        <w:tc>
          <w:tcPr>
            <w:tcW w:w="0" w:type="dxa"/>
            <w:vAlign w:val="bottom"/>
          </w:tcPr>
          <w:p>
            <w:pPr>
              <w:spacing w:after="0"/>
              <w:rPr>
                <w:sz w:val="1"/>
                <w:szCs w:val="1"/>
                <w:color w:val="auto"/>
              </w:rPr>
            </w:pPr>
          </w:p>
        </w:tc>
      </w:tr>
      <w:tr>
        <w:trPr>
          <w:trHeight w:val="119"/>
        </w:trPr>
        <w:tc>
          <w:tcPr>
            <w:tcW w:w="2000" w:type="dxa"/>
            <w:vAlign w:val="bottom"/>
            <w:vMerge w:val="continue"/>
          </w:tcPr>
          <w:p>
            <w:pPr>
              <w:spacing w:after="0"/>
              <w:rPr>
                <w:sz w:val="10"/>
                <w:szCs w:val="10"/>
                <w:color w:val="auto"/>
              </w:rPr>
            </w:pPr>
          </w:p>
        </w:tc>
        <w:tc>
          <w:tcPr>
            <w:tcW w:w="3740" w:type="dxa"/>
            <w:vAlign w:val="bottom"/>
            <w:vMerge w:val="restart"/>
          </w:tcPr>
          <w:p>
            <w:pPr>
              <w:ind w:left="300"/>
              <w:spacing w:after="0"/>
              <w:rPr>
                <w:sz w:val="20"/>
                <w:szCs w:val="20"/>
                <w:color w:val="auto"/>
              </w:rPr>
            </w:pPr>
            <w:r>
              <w:rPr>
                <w:rFonts w:ascii="Arial" w:cs="Arial" w:eastAsia="Arial" w:hAnsi="Arial"/>
                <w:sz w:val="15"/>
                <w:szCs w:val="15"/>
                <w:color w:val="231F20"/>
              </w:rPr>
              <w:t>commercial foodservice equipment companies</w:t>
            </w:r>
          </w:p>
        </w:tc>
        <w:tc>
          <w:tcPr>
            <w:tcW w:w="80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5"/>
                <w:szCs w:val="15"/>
                <w:color w:val="231F20"/>
              </w:rPr>
              <w:t>Governance</w:t>
            </w:r>
          </w:p>
        </w:tc>
        <w:tc>
          <w:tcPr>
            <w:tcW w:w="0" w:type="dxa"/>
            <w:vAlign w:val="bottom"/>
          </w:tcPr>
          <w:p>
            <w:pPr>
              <w:spacing w:after="0"/>
              <w:rPr>
                <w:sz w:val="1"/>
                <w:szCs w:val="1"/>
                <w:color w:val="auto"/>
              </w:rPr>
            </w:pPr>
          </w:p>
        </w:tc>
      </w:tr>
      <w:tr>
        <w:trPr>
          <w:trHeight w:val="82"/>
        </w:trPr>
        <w:tc>
          <w:tcPr>
            <w:tcW w:w="2000" w:type="dxa"/>
            <w:vAlign w:val="bottom"/>
            <w:tcBorders>
              <w:bottom w:val="single" w:sz="8" w:color="002F4D"/>
            </w:tcBorders>
          </w:tcPr>
          <w:p>
            <w:pPr>
              <w:spacing w:after="0"/>
              <w:rPr>
                <w:sz w:val="7"/>
                <w:szCs w:val="7"/>
                <w:color w:val="auto"/>
              </w:rPr>
            </w:pPr>
          </w:p>
        </w:tc>
        <w:tc>
          <w:tcPr>
            <w:tcW w:w="3740" w:type="dxa"/>
            <w:vAlign w:val="bottom"/>
            <w:tcBorders>
              <w:bottom w:val="single" w:sz="8" w:color="002F4D"/>
            </w:tcBorders>
            <w:vMerge w:val="continue"/>
          </w:tcPr>
          <w:p>
            <w:pPr>
              <w:spacing w:after="0"/>
              <w:rPr>
                <w:sz w:val="7"/>
                <w:szCs w:val="7"/>
                <w:color w:val="auto"/>
              </w:rPr>
            </w:pPr>
          </w:p>
        </w:tc>
        <w:tc>
          <w:tcPr>
            <w:tcW w:w="800" w:type="dxa"/>
            <w:vAlign w:val="bottom"/>
            <w:tcBorders>
              <w:bottom w:val="single" w:sz="8" w:color="002F4D"/>
            </w:tcBorders>
          </w:tcPr>
          <w:p>
            <w:pPr>
              <w:spacing w:after="0"/>
              <w:rPr>
                <w:sz w:val="7"/>
                <w:szCs w:val="7"/>
                <w:color w:val="auto"/>
              </w:rPr>
            </w:pPr>
          </w:p>
        </w:tc>
        <w:tc>
          <w:tcPr>
            <w:tcW w:w="1120" w:type="dxa"/>
            <w:vAlign w:val="bottom"/>
            <w:tcBorders>
              <w:bottom w:val="single" w:sz="8" w:color="002F4D"/>
            </w:tcBorders>
          </w:tcPr>
          <w:p>
            <w:pPr>
              <w:spacing w:after="0"/>
              <w:rPr>
                <w:sz w:val="7"/>
                <w:szCs w:val="7"/>
                <w:color w:val="auto"/>
              </w:rPr>
            </w:pPr>
          </w:p>
        </w:tc>
        <w:tc>
          <w:tcPr>
            <w:tcW w:w="1460" w:type="dxa"/>
            <w:vAlign w:val="bottom"/>
            <w:tcBorders>
              <w:bottom w:val="single" w:sz="8" w:color="002F4D"/>
            </w:tcBorders>
          </w:tcPr>
          <w:p>
            <w:pPr>
              <w:spacing w:after="0"/>
              <w:rPr>
                <w:sz w:val="7"/>
                <w:szCs w:val="7"/>
                <w:color w:val="auto"/>
              </w:rPr>
            </w:pPr>
          </w:p>
        </w:tc>
        <w:tc>
          <w:tcPr>
            <w:tcW w:w="2120" w:type="dxa"/>
            <w:vAlign w:val="bottom"/>
            <w:tcBorders>
              <w:bottom w:val="single" w:sz="8" w:color="002F4D"/>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00" w:type="dxa"/>
            <w:vAlign w:val="bottom"/>
          </w:tcPr>
          <w:p>
            <w:pPr>
              <w:ind w:left="60"/>
              <w:spacing w:after="0" w:line="171" w:lineRule="exact"/>
              <w:rPr>
                <w:sz w:val="20"/>
                <w:szCs w:val="20"/>
                <w:color w:val="auto"/>
              </w:rPr>
            </w:pPr>
            <w:r>
              <w:rPr>
                <w:rFonts w:ascii="Arial" w:cs="Arial" w:eastAsia="Arial" w:hAnsi="Arial"/>
                <w:sz w:val="15"/>
                <w:szCs w:val="15"/>
                <w:b w:val="1"/>
                <w:bCs w:val="1"/>
                <w:color w:val="265E7C"/>
              </w:rPr>
              <w:t>Gordon J. O’Brien</w:t>
            </w:r>
          </w:p>
        </w:tc>
        <w:tc>
          <w:tcPr>
            <w:tcW w:w="3740" w:type="dxa"/>
            <w:vAlign w:val="bottom"/>
            <w:vMerge w:val="restart"/>
          </w:tcPr>
          <w:p>
            <w:pPr>
              <w:ind w:left="300"/>
              <w:spacing w:after="0"/>
              <w:rPr>
                <w:sz w:val="20"/>
                <w:szCs w:val="20"/>
                <w:color w:val="auto"/>
              </w:rPr>
            </w:pPr>
            <w:r>
              <w:rPr>
                <w:rFonts w:ascii="Arial" w:cs="Arial" w:eastAsia="Arial" w:hAnsi="Arial"/>
                <w:sz w:val="15"/>
                <w:szCs w:val="15"/>
                <w:color w:val="231F20"/>
              </w:rPr>
              <w:t>Managing Partner at Cannon Capital</w:t>
            </w:r>
          </w:p>
        </w:tc>
        <w:tc>
          <w:tcPr>
            <w:tcW w:w="800" w:type="dxa"/>
            <w:vAlign w:val="bottom"/>
            <w:vMerge w:val="restart"/>
          </w:tcPr>
          <w:p>
            <w:pPr>
              <w:jc w:val="center"/>
              <w:ind w:right="44"/>
              <w:spacing w:after="0"/>
              <w:rPr>
                <w:sz w:val="20"/>
                <w:szCs w:val="20"/>
                <w:color w:val="auto"/>
              </w:rPr>
            </w:pPr>
            <w:r>
              <w:rPr>
                <w:rFonts w:ascii="Arial" w:cs="Arial" w:eastAsia="Arial" w:hAnsi="Arial"/>
                <w:sz w:val="15"/>
                <w:szCs w:val="15"/>
                <w:color w:val="231F20"/>
                <w:w w:val="95"/>
              </w:rPr>
              <w:t>60</w:t>
            </w:r>
          </w:p>
        </w:tc>
        <w:tc>
          <w:tcPr>
            <w:tcW w:w="1120" w:type="dxa"/>
            <w:vAlign w:val="bottom"/>
            <w:vMerge w:val="restart"/>
          </w:tcPr>
          <w:p>
            <w:pPr>
              <w:jc w:val="center"/>
              <w:spacing w:after="0"/>
              <w:rPr>
                <w:sz w:val="20"/>
                <w:szCs w:val="20"/>
                <w:color w:val="auto"/>
              </w:rPr>
            </w:pPr>
            <w:r>
              <w:rPr>
                <w:rFonts w:ascii="Arial" w:cs="Arial" w:eastAsia="Arial" w:hAnsi="Arial"/>
                <w:sz w:val="15"/>
                <w:szCs w:val="15"/>
                <w:color w:val="231F20"/>
              </w:rPr>
              <w:t>2005</w:t>
            </w:r>
          </w:p>
        </w:tc>
        <w:tc>
          <w:tcPr>
            <w:tcW w:w="3580" w:type="dxa"/>
            <w:vAlign w:val="bottom"/>
            <w:gridSpan w:val="2"/>
            <w:vMerge w:val="restart"/>
          </w:tcPr>
          <w:p>
            <w:pPr>
              <w:ind w:left="1360"/>
              <w:spacing w:after="0"/>
              <w:rPr>
                <w:sz w:val="20"/>
                <w:szCs w:val="20"/>
                <w:color w:val="auto"/>
              </w:rPr>
            </w:pPr>
            <w:r>
              <w:rPr>
                <w:rFonts w:ascii="Arial" w:cs="Arial" w:eastAsia="Arial" w:hAnsi="Arial"/>
                <w:sz w:val="15"/>
                <w:szCs w:val="15"/>
                <w:color w:val="265E7C"/>
              </w:rPr>
              <w:t xml:space="preserve">• </w:t>
            </w:r>
            <w:r>
              <w:rPr>
                <w:rFonts w:ascii="Arial" w:cs="Arial" w:eastAsia="Arial" w:hAnsi="Arial"/>
                <w:sz w:val="15"/>
                <w:szCs w:val="15"/>
                <w:color w:val="231F20"/>
              </w:rPr>
              <w:t>Compensation</w:t>
            </w:r>
          </w:p>
        </w:tc>
        <w:tc>
          <w:tcPr>
            <w:tcW w:w="0" w:type="dxa"/>
            <w:vAlign w:val="bottom"/>
          </w:tcPr>
          <w:p>
            <w:pPr>
              <w:spacing w:after="0"/>
              <w:rPr>
                <w:sz w:val="1"/>
                <w:szCs w:val="1"/>
                <w:color w:val="auto"/>
              </w:rPr>
            </w:pPr>
          </w:p>
        </w:tc>
      </w:tr>
      <w:tr>
        <w:trPr>
          <w:trHeight w:val="111"/>
        </w:trPr>
        <w:tc>
          <w:tcPr>
            <w:tcW w:w="2000" w:type="dxa"/>
            <w:vAlign w:val="bottom"/>
            <w:vMerge w:val="restart"/>
          </w:tcPr>
          <w:p>
            <w:pPr>
              <w:ind w:left="60"/>
              <w:spacing w:after="0"/>
              <w:rPr>
                <w:sz w:val="20"/>
                <w:szCs w:val="20"/>
                <w:color w:val="auto"/>
              </w:rPr>
            </w:pPr>
            <w:r>
              <w:rPr>
                <w:rFonts w:ascii="Arial" w:cs="Arial" w:eastAsia="Arial" w:hAnsi="Arial"/>
                <w:sz w:val="15"/>
                <w:szCs w:val="15"/>
                <w:b w:val="1"/>
                <w:bCs w:val="1"/>
                <w:color w:val="265E7C"/>
              </w:rPr>
              <w:t>Chairman of the Board</w:t>
            </w:r>
          </w:p>
        </w:tc>
        <w:tc>
          <w:tcPr>
            <w:tcW w:w="37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3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000" w:type="dxa"/>
            <w:vAlign w:val="bottom"/>
            <w:tcBorders>
              <w:bottom w:val="single" w:sz="8" w:color="002F4D"/>
            </w:tcBorders>
            <w:vMerge w:val="continue"/>
          </w:tcPr>
          <w:p>
            <w:pPr>
              <w:spacing w:after="0"/>
              <w:rPr>
                <w:sz w:val="7"/>
                <w:szCs w:val="7"/>
                <w:color w:val="auto"/>
              </w:rPr>
            </w:pPr>
          </w:p>
        </w:tc>
        <w:tc>
          <w:tcPr>
            <w:tcW w:w="3740" w:type="dxa"/>
            <w:vAlign w:val="bottom"/>
            <w:tcBorders>
              <w:bottom w:val="single" w:sz="8" w:color="002F4D"/>
            </w:tcBorders>
          </w:tcPr>
          <w:p>
            <w:pPr>
              <w:spacing w:after="0"/>
              <w:rPr>
                <w:sz w:val="7"/>
                <w:szCs w:val="7"/>
                <w:color w:val="auto"/>
              </w:rPr>
            </w:pPr>
          </w:p>
        </w:tc>
        <w:tc>
          <w:tcPr>
            <w:tcW w:w="800" w:type="dxa"/>
            <w:vAlign w:val="bottom"/>
            <w:tcBorders>
              <w:bottom w:val="single" w:sz="8" w:color="002F4D"/>
            </w:tcBorders>
          </w:tcPr>
          <w:p>
            <w:pPr>
              <w:spacing w:after="0"/>
              <w:rPr>
                <w:sz w:val="7"/>
                <w:szCs w:val="7"/>
                <w:color w:val="auto"/>
              </w:rPr>
            </w:pPr>
          </w:p>
        </w:tc>
        <w:tc>
          <w:tcPr>
            <w:tcW w:w="1120" w:type="dxa"/>
            <w:vAlign w:val="bottom"/>
            <w:tcBorders>
              <w:bottom w:val="single" w:sz="8" w:color="002F4D"/>
            </w:tcBorders>
          </w:tcPr>
          <w:p>
            <w:pPr>
              <w:spacing w:after="0"/>
              <w:rPr>
                <w:sz w:val="7"/>
                <w:szCs w:val="7"/>
                <w:color w:val="auto"/>
              </w:rPr>
            </w:pPr>
          </w:p>
        </w:tc>
        <w:tc>
          <w:tcPr>
            <w:tcW w:w="1460" w:type="dxa"/>
            <w:vAlign w:val="bottom"/>
            <w:tcBorders>
              <w:bottom w:val="single" w:sz="8" w:color="002F4D"/>
            </w:tcBorders>
          </w:tcPr>
          <w:p>
            <w:pPr>
              <w:spacing w:after="0"/>
              <w:rPr>
                <w:sz w:val="7"/>
                <w:szCs w:val="7"/>
                <w:color w:val="auto"/>
              </w:rPr>
            </w:pPr>
          </w:p>
        </w:tc>
        <w:tc>
          <w:tcPr>
            <w:tcW w:w="2120" w:type="dxa"/>
            <w:vAlign w:val="bottom"/>
            <w:tcBorders>
              <w:bottom w:val="single" w:sz="8" w:color="002F4D"/>
            </w:tcBorders>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000" w:type="dxa"/>
            <w:vAlign w:val="bottom"/>
            <w:vMerge w:val="restart"/>
          </w:tcPr>
          <w:p>
            <w:pPr>
              <w:ind w:left="60"/>
              <w:spacing w:after="0"/>
              <w:rPr>
                <w:sz w:val="20"/>
                <w:szCs w:val="20"/>
                <w:color w:val="auto"/>
              </w:rPr>
            </w:pPr>
            <w:r>
              <w:rPr>
                <w:rFonts w:ascii="Arial" w:cs="Arial" w:eastAsia="Arial" w:hAnsi="Arial"/>
                <w:sz w:val="15"/>
                <w:szCs w:val="15"/>
                <w:b w:val="1"/>
                <w:bCs w:val="1"/>
                <w:color w:val="265E7C"/>
              </w:rPr>
              <w:t>Stephen R. Scherger</w:t>
            </w:r>
          </w:p>
        </w:tc>
        <w:tc>
          <w:tcPr>
            <w:tcW w:w="3740" w:type="dxa"/>
            <w:vAlign w:val="bottom"/>
          </w:tcPr>
          <w:p>
            <w:pPr>
              <w:ind w:left="300"/>
              <w:spacing w:after="0" w:line="170" w:lineRule="exact"/>
              <w:rPr>
                <w:sz w:val="20"/>
                <w:szCs w:val="20"/>
                <w:color w:val="auto"/>
              </w:rPr>
            </w:pPr>
            <w:r>
              <w:rPr>
                <w:rFonts w:ascii="Arial" w:cs="Arial" w:eastAsia="Arial" w:hAnsi="Arial"/>
                <w:sz w:val="15"/>
                <w:szCs w:val="15"/>
                <w:color w:val="auto"/>
              </w:rPr>
              <w:t>Executive Vice President and Chief Financial</w:t>
            </w:r>
          </w:p>
        </w:tc>
        <w:tc>
          <w:tcPr>
            <w:tcW w:w="800" w:type="dxa"/>
            <w:vAlign w:val="bottom"/>
            <w:vMerge w:val="restart"/>
          </w:tcPr>
          <w:p>
            <w:pPr>
              <w:jc w:val="center"/>
              <w:ind w:right="44"/>
              <w:spacing w:after="0"/>
              <w:rPr>
                <w:sz w:val="20"/>
                <w:szCs w:val="20"/>
                <w:color w:val="auto"/>
              </w:rPr>
            </w:pPr>
            <w:r>
              <w:rPr>
                <w:rFonts w:ascii="Arial" w:cs="Arial" w:eastAsia="Arial" w:hAnsi="Arial"/>
                <w:sz w:val="15"/>
                <w:szCs w:val="15"/>
                <w:color w:val="auto"/>
                <w:w w:val="95"/>
              </w:rPr>
              <w:t>61</w:t>
            </w:r>
          </w:p>
        </w:tc>
        <w:tc>
          <w:tcPr>
            <w:tcW w:w="1120" w:type="dxa"/>
            <w:vAlign w:val="bottom"/>
            <w:vMerge w:val="restart"/>
          </w:tcPr>
          <w:p>
            <w:pPr>
              <w:jc w:val="center"/>
              <w:spacing w:after="0"/>
              <w:rPr>
                <w:sz w:val="20"/>
                <w:szCs w:val="20"/>
                <w:color w:val="auto"/>
              </w:rPr>
            </w:pPr>
            <w:r>
              <w:rPr>
                <w:rFonts w:ascii="Arial" w:cs="Arial" w:eastAsia="Arial" w:hAnsi="Arial"/>
                <w:sz w:val="15"/>
                <w:szCs w:val="15"/>
                <w:color w:val="auto"/>
              </w:rPr>
              <w:t>2024</w:t>
            </w:r>
          </w:p>
        </w:tc>
        <w:tc>
          <w:tcPr>
            <w:tcW w:w="1460" w:type="dxa"/>
            <w:vAlign w:val="bottom"/>
          </w:tcPr>
          <w:p>
            <w:pPr>
              <w:ind w:left="1360"/>
              <w:spacing w:after="0" w:line="170" w:lineRule="exact"/>
              <w:rPr>
                <w:sz w:val="20"/>
                <w:szCs w:val="20"/>
                <w:color w:val="auto"/>
              </w:rPr>
            </w:pPr>
            <w:r>
              <w:rPr>
                <w:rFonts w:ascii="Arial" w:cs="Arial" w:eastAsia="Arial" w:hAnsi="Arial"/>
                <w:sz w:val="15"/>
                <w:szCs w:val="15"/>
                <w:color w:val="265E7C"/>
              </w:rPr>
              <w:t>•</w:t>
            </w:r>
          </w:p>
        </w:tc>
        <w:tc>
          <w:tcPr>
            <w:tcW w:w="2120" w:type="dxa"/>
            <w:vAlign w:val="bottom"/>
          </w:tcPr>
          <w:p>
            <w:pPr>
              <w:ind w:left="40"/>
              <w:spacing w:after="0" w:line="170" w:lineRule="exact"/>
              <w:rPr>
                <w:sz w:val="20"/>
                <w:szCs w:val="20"/>
                <w:color w:val="auto"/>
              </w:rPr>
            </w:pPr>
            <w:r>
              <w:rPr>
                <w:rFonts w:ascii="Arial" w:cs="Arial" w:eastAsia="Arial" w:hAnsi="Arial"/>
                <w:sz w:val="15"/>
                <w:szCs w:val="15"/>
                <w:color w:val="231F20"/>
              </w:rPr>
              <w:t>Audit*</w:t>
            </w:r>
          </w:p>
        </w:tc>
        <w:tc>
          <w:tcPr>
            <w:tcW w:w="0" w:type="dxa"/>
            <w:vAlign w:val="bottom"/>
          </w:tcPr>
          <w:p>
            <w:pPr>
              <w:spacing w:after="0"/>
              <w:rPr>
                <w:sz w:val="1"/>
                <w:szCs w:val="1"/>
                <w:color w:val="auto"/>
              </w:rPr>
            </w:pPr>
          </w:p>
        </w:tc>
      </w:tr>
      <w:tr>
        <w:trPr>
          <w:trHeight w:val="119"/>
        </w:trPr>
        <w:tc>
          <w:tcPr>
            <w:tcW w:w="2000" w:type="dxa"/>
            <w:vAlign w:val="bottom"/>
            <w:vMerge w:val="continue"/>
          </w:tcPr>
          <w:p>
            <w:pPr>
              <w:spacing w:after="0"/>
              <w:rPr>
                <w:sz w:val="10"/>
                <w:szCs w:val="10"/>
                <w:color w:val="auto"/>
              </w:rPr>
            </w:pPr>
          </w:p>
        </w:tc>
        <w:tc>
          <w:tcPr>
            <w:tcW w:w="3740" w:type="dxa"/>
            <w:vAlign w:val="bottom"/>
            <w:vMerge w:val="restart"/>
          </w:tcPr>
          <w:p>
            <w:pPr>
              <w:ind w:left="300"/>
              <w:spacing w:after="0"/>
              <w:rPr>
                <w:sz w:val="20"/>
                <w:szCs w:val="20"/>
                <w:color w:val="auto"/>
              </w:rPr>
            </w:pPr>
            <w:r>
              <w:rPr>
                <w:rFonts w:ascii="Arial" w:cs="Arial" w:eastAsia="Arial" w:hAnsi="Arial"/>
                <w:sz w:val="15"/>
                <w:szCs w:val="15"/>
                <w:color w:val="auto"/>
              </w:rPr>
              <w:t>Officer of Amcor plc</w:t>
            </w:r>
          </w:p>
        </w:tc>
        <w:tc>
          <w:tcPr>
            <w:tcW w:w="80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60" w:type="dxa"/>
            <w:vAlign w:val="bottom"/>
            <w:vMerge w:val="restart"/>
          </w:tcPr>
          <w:p>
            <w:pPr>
              <w:ind w:left="1360"/>
              <w:spacing w:after="0"/>
              <w:rPr>
                <w:sz w:val="20"/>
                <w:szCs w:val="20"/>
                <w:color w:val="auto"/>
              </w:rPr>
            </w:pPr>
            <w:r>
              <w:rPr>
                <w:rFonts w:ascii="Arial" w:cs="Arial" w:eastAsia="Arial" w:hAnsi="Arial"/>
                <w:sz w:val="15"/>
                <w:szCs w:val="15"/>
                <w:color w:val="265E7C"/>
              </w:rPr>
              <w:t>•</w:t>
            </w:r>
          </w:p>
        </w:tc>
        <w:tc>
          <w:tcPr>
            <w:tcW w:w="2120" w:type="dxa"/>
            <w:vAlign w:val="bottom"/>
            <w:vMerge w:val="restart"/>
          </w:tcPr>
          <w:p>
            <w:pPr>
              <w:ind w:left="40"/>
              <w:spacing w:after="0"/>
              <w:rPr>
                <w:sz w:val="20"/>
                <w:szCs w:val="20"/>
                <w:color w:val="auto"/>
              </w:rPr>
            </w:pPr>
            <w:r>
              <w:rPr>
                <w:rFonts w:ascii="Arial" w:cs="Arial" w:eastAsia="Arial" w:hAnsi="Arial"/>
                <w:sz w:val="15"/>
                <w:szCs w:val="15"/>
                <w:color w:val="231F20"/>
              </w:rPr>
              <w:t>Compensation (chair)</w:t>
            </w:r>
          </w:p>
        </w:tc>
        <w:tc>
          <w:tcPr>
            <w:tcW w:w="0" w:type="dxa"/>
            <w:vAlign w:val="bottom"/>
          </w:tcPr>
          <w:p>
            <w:pPr>
              <w:spacing w:after="0"/>
              <w:rPr>
                <w:sz w:val="1"/>
                <w:szCs w:val="1"/>
                <w:color w:val="auto"/>
              </w:rPr>
            </w:pPr>
          </w:p>
        </w:tc>
      </w:tr>
      <w:tr>
        <w:trPr>
          <w:trHeight w:val="82"/>
        </w:trPr>
        <w:tc>
          <w:tcPr>
            <w:tcW w:w="2000" w:type="dxa"/>
            <w:vAlign w:val="bottom"/>
            <w:tcBorders>
              <w:bottom w:val="single" w:sz="8" w:color="002F4D"/>
            </w:tcBorders>
          </w:tcPr>
          <w:p>
            <w:pPr>
              <w:spacing w:after="0"/>
              <w:rPr>
                <w:sz w:val="7"/>
                <w:szCs w:val="7"/>
                <w:color w:val="auto"/>
              </w:rPr>
            </w:pPr>
          </w:p>
        </w:tc>
        <w:tc>
          <w:tcPr>
            <w:tcW w:w="3740" w:type="dxa"/>
            <w:vAlign w:val="bottom"/>
            <w:tcBorders>
              <w:bottom w:val="single" w:sz="8" w:color="002F4D"/>
            </w:tcBorders>
            <w:vMerge w:val="continue"/>
          </w:tcPr>
          <w:p>
            <w:pPr>
              <w:spacing w:after="0"/>
              <w:rPr>
                <w:sz w:val="7"/>
                <w:szCs w:val="7"/>
                <w:color w:val="auto"/>
              </w:rPr>
            </w:pPr>
          </w:p>
        </w:tc>
        <w:tc>
          <w:tcPr>
            <w:tcW w:w="800" w:type="dxa"/>
            <w:vAlign w:val="bottom"/>
            <w:tcBorders>
              <w:bottom w:val="single" w:sz="8" w:color="002F4D"/>
            </w:tcBorders>
          </w:tcPr>
          <w:p>
            <w:pPr>
              <w:spacing w:after="0"/>
              <w:rPr>
                <w:sz w:val="7"/>
                <w:szCs w:val="7"/>
                <w:color w:val="auto"/>
              </w:rPr>
            </w:pPr>
          </w:p>
        </w:tc>
        <w:tc>
          <w:tcPr>
            <w:tcW w:w="1120" w:type="dxa"/>
            <w:vAlign w:val="bottom"/>
            <w:tcBorders>
              <w:bottom w:val="single" w:sz="8" w:color="002F4D"/>
            </w:tcBorders>
          </w:tcPr>
          <w:p>
            <w:pPr>
              <w:spacing w:after="0"/>
              <w:rPr>
                <w:sz w:val="7"/>
                <w:szCs w:val="7"/>
                <w:color w:val="auto"/>
              </w:rPr>
            </w:pPr>
          </w:p>
        </w:tc>
        <w:tc>
          <w:tcPr>
            <w:tcW w:w="1460" w:type="dxa"/>
            <w:vAlign w:val="bottom"/>
            <w:tcBorders>
              <w:bottom w:val="single" w:sz="8" w:color="002F4D"/>
            </w:tcBorders>
            <w:vMerge w:val="continue"/>
          </w:tcPr>
          <w:p>
            <w:pPr>
              <w:spacing w:after="0"/>
              <w:rPr>
                <w:sz w:val="7"/>
                <w:szCs w:val="7"/>
                <w:color w:val="auto"/>
              </w:rPr>
            </w:pPr>
          </w:p>
        </w:tc>
        <w:tc>
          <w:tcPr>
            <w:tcW w:w="2120" w:type="dxa"/>
            <w:vAlign w:val="bottom"/>
            <w:tcBorders>
              <w:bottom w:val="single" w:sz="8" w:color="002F4D"/>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00" w:type="dxa"/>
            <w:vAlign w:val="bottom"/>
          </w:tcPr>
          <w:p>
            <w:pPr>
              <w:ind w:left="60"/>
              <w:spacing w:after="0"/>
              <w:rPr>
                <w:sz w:val="20"/>
                <w:szCs w:val="20"/>
                <w:color w:val="auto"/>
              </w:rPr>
            </w:pPr>
            <w:r>
              <w:rPr>
                <w:rFonts w:ascii="Arial" w:cs="Arial" w:eastAsia="Arial" w:hAnsi="Arial"/>
                <w:sz w:val="15"/>
                <w:szCs w:val="15"/>
                <w:b w:val="1"/>
                <w:bCs w:val="1"/>
                <w:color w:val="265E7C"/>
              </w:rPr>
              <w:t>Tejas P. Shah</w:t>
            </w:r>
          </w:p>
        </w:tc>
        <w:tc>
          <w:tcPr>
            <w:tcW w:w="3740" w:type="dxa"/>
            <w:vAlign w:val="bottom"/>
          </w:tcPr>
          <w:p>
            <w:pPr>
              <w:ind w:left="300"/>
              <w:spacing w:after="0"/>
              <w:rPr>
                <w:sz w:val="20"/>
                <w:szCs w:val="20"/>
                <w:color w:val="auto"/>
              </w:rPr>
            </w:pPr>
            <w:r>
              <w:rPr>
                <w:rFonts w:ascii="Arial" w:cs="Arial" w:eastAsia="Arial" w:hAnsi="Arial"/>
                <w:sz w:val="15"/>
                <w:szCs w:val="15"/>
                <w:color w:val="231F20"/>
              </w:rPr>
              <w:t>Chief Executive Officer of Palo Alto Labs</w:t>
            </w:r>
          </w:p>
        </w:tc>
        <w:tc>
          <w:tcPr>
            <w:tcW w:w="800" w:type="dxa"/>
            <w:vAlign w:val="bottom"/>
          </w:tcPr>
          <w:p>
            <w:pPr>
              <w:jc w:val="center"/>
              <w:ind w:right="44"/>
              <w:spacing w:after="0"/>
              <w:rPr>
                <w:sz w:val="20"/>
                <w:szCs w:val="20"/>
                <w:color w:val="auto"/>
              </w:rPr>
            </w:pPr>
            <w:r>
              <w:rPr>
                <w:rFonts w:ascii="Arial" w:cs="Arial" w:eastAsia="Arial" w:hAnsi="Arial"/>
                <w:sz w:val="15"/>
                <w:szCs w:val="15"/>
                <w:color w:val="231F20"/>
                <w:w w:val="95"/>
              </w:rPr>
              <w:t>46</w:t>
            </w:r>
          </w:p>
        </w:tc>
        <w:tc>
          <w:tcPr>
            <w:tcW w:w="1120" w:type="dxa"/>
            <w:vAlign w:val="bottom"/>
          </w:tcPr>
          <w:p>
            <w:pPr>
              <w:jc w:val="center"/>
              <w:spacing w:after="0"/>
              <w:rPr>
                <w:sz w:val="20"/>
                <w:szCs w:val="20"/>
                <w:color w:val="auto"/>
              </w:rPr>
            </w:pPr>
            <w:r>
              <w:rPr>
                <w:rFonts w:ascii="Arial" w:cs="Arial" w:eastAsia="Arial" w:hAnsi="Arial"/>
                <w:sz w:val="15"/>
                <w:szCs w:val="15"/>
                <w:color w:val="231F20"/>
              </w:rPr>
              <w:t>2024</w:t>
            </w:r>
          </w:p>
        </w:tc>
        <w:tc>
          <w:tcPr>
            <w:tcW w:w="1460" w:type="dxa"/>
            <w:vAlign w:val="bottom"/>
          </w:tcPr>
          <w:p>
            <w:pPr>
              <w:ind w:left="1360"/>
              <w:spacing w:after="0"/>
              <w:rPr>
                <w:sz w:val="20"/>
                <w:szCs w:val="20"/>
                <w:color w:val="auto"/>
              </w:rPr>
            </w:pPr>
            <w:r>
              <w:rPr>
                <w:rFonts w:ascii="Arial" w:cs="Arial" w:eastAsia="Arial" w:hAnsi="Arial"/>
                <w:sz w:val="15"/>
                <w:szCs w:val="15"/>
                <w:color w:val="265E7C"/>
              </w:rPr>
              <w:t>•</w:t>
            </w:r>
          </w:p>
        </w:tc>
        <w:tc>
          <w:tcPr>
            <w:tcW w:w="2120" w:type="dxa"/>
            <w:vAlign w:val="bottom"/>
          </w:tcPr>
          <w:p>
            <w:pPr>
              <w:ind w:left="40"/>
              <w:spacing w:after="0"/>
              <w:rPr>
                <w:sz w:val="20"/>
                <w:szCs w:val="20"/>
                <w:color w:val="auto"/>
              </w:rPr>
            </w:pPr>
            <w:r>
              <w:rPr>
                <w:rFonts w:ascii="Arial" w:cs="Arial" w:eastAsia="Arial" w:hAnsi="Arial"/>
                <w:sz w:val="15"/>
                <w:szCs w:val="15"/>
                <w:color w:val="231F20"/>
              </w:rPr>
              <w:t>Audit*</w:t>
            </w:r>
          </w:p>
        </w:tc>
        <w:tc>
          <w:tcPr>
            <w:tcW w:w="0" w:type="dxa"/>
            <w:vAlign w:val="bottom"/>
          </w:tcPr>
          <w:p>
            <w:pPr>
              <w:spacing w:after="0"/>
              <w:rPr>
                <w:sz w:val="1"/>
                <w:szCs w:val="1"/>
                <w:color w:val="auto"/>
              </w:rPr>
            </w:pPr>
          </w:p>
        </w:tc>
      </w:tr>
      <w:tr>
        <w:trPr>
          <w:trHeight w:val="38"/>
        </w:trPr>
        <w:tc>
          <w:tcPr>
            <w:tcW w:w="2000" w:type="dxa"/>
            <w:vAlign w:val="bottom"/>
            <w:tcBorders>
              <w:bottom w:val="single" w:sz="8" w:color="002F4D"/>
            </w:tcBorders>
          </w:tcPr>
          <w:p>
            <w:pPr>
              <w:spacing w:after="0"/>
              <w:rPr>
                <w:sz w:val="3"/>
                <w:szCs w:val="3"/>
                <w:color w:val="auto"/>
              </w:rPr>
            </w:pPr>
          </w:p>
        </w:tc>
        <w:tc>
          <w:tcPr>
            <w:tcW w:w="3740" w:type="dxa"/>
            <w:vAlign w:val="bottom"/>
            <w:tcBorders>
              <w:bottom w:val="single" w:sz="8" w:color="002F4D"/>
            </w:tcBorders>
          </w:tcPr>
          <w:p>
            <w:pPr>
              <w:spacing w:after="0"/>
              <w:rPr>
                <w:sz w:val="3"/>
                <w:szCs w:val="3"/>
                <w:color w:val="auto"/>
              </w:rPr>
            </w:pPr>
          </w:p>
        </w:tc>
        <w:tc>
          <w:tcPr>
            <w:tcW w:w="800" w:type="dxa"/>
            <w:vAlign w:val="bottom"/>
            <w:tcBorders>
              <w:bottom w:val="single" w:sz="8" w:color="002F4D"/>
            </w:tcBorders>
          </w:tcPr>
          <w:p>
            <w:pPr>
              <w:spacing w:after="0"/>
              <w:rPr>
                <w:sz w:val="3"/>
                <w:szCs w:val="3"/>
                <w:color w:val="auto"/>
              </w:rPr>
            </w:pPr>
          </w:p>
        </w:tc>
        <w:tc>
          <w:tcPr>
            <w:tcW w:w="1120" w:type="dxa"/>
            <w:vAlign w:val="bottom"/>
            <w:tcBorders>
              <w:bottom w:val="single" w:sz="8" w:color="002F4D"/>
            </w:tcBorders>
          </w:tcPr>
          <w:p>
            <w:pPr>
              <w:spacing w:after="0"/>
              <w:rPr>
                <w:sz w:val="3"/>
                <w:szCs w:val="3"/>
                <w:color w:val="auto"/>
              </w:rPr>
            </w:pPr>
          </w:p>
        </w:tc>
        <w:tc>
          <w:tcPr>
            <w:tcW w:w="1460" w:type="dxa"/>
            <w:vAlign w:val="bottom"/>
            <w:tcBorders>
              <w:bottom w:val="single" w:sz="8" w:color="002F4D"/>
            </w:tcBorders>
          </w:tcPr>
          <w:p>
            <w:pPr>
              <w:spacing w:after="0"/>
              <w:rPr>
                <w:sz w:val="3"/>
                <w:szCs w:val="3"/>
                <w:color w:val="auto"/>
              </w:rPr>
            </w:pPr>
          </w:p>
        </w:tc>
        <w:tc>
          <w:tcPr>
            <w:tcW w:w="2120" w:type="dxa"/>
            <w:vAlign w:val="bottom"/>
            <w:tcBorders>
              <w:bottom w:val="single" w:sz="8" w:color="002F4D"/>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5226050</wp:posOffset>
            </wp:positionH>
            <wp:positionV relativeFrom="paragraph">
              <wp:posOffset>-2852420</wp:posOffset>
            </wp:positionV>
            <wp:extent cx="168275" cy="168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8275" cy="16827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-2548255</wp:posOffset>
            </wp:positionV>
            <wp:extent cx="168275" cy="168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8275" cy="16827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-2299335</wp:posOffset>
            </wp:positionV>
            <wp:extent cx="168275" cy="168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8275" cy="16827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-1746885</wp:posOffset>
            </wp:positionV>
            <wp:extent cx="168275" cy="168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8275" cy="16827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-1473835</wp:posOffset>
            </wp:positionV>
            <wp:extent cx="168275" cy="168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8275" cy="16827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-1201420</wp:posOffset>
            </wp:positionV>
            <wp:extent cx="168275" cy="168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8275" cy="16827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-897255</wp:posOffset>
            </wp:positionV>
            <wp:extent cx="168275" cy="168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8275" cy="16827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-648335</wp:posOffset>
            </wp:positionV>
            <wp:extent cx="168275" cy="168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8275" cy="16827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-400050</wp:posOffset>
            </wp:positionV>
            <wp:extent cx="168275" cy="168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8275" cy="16827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-183515</wp:posOffset>
            </wp:positionV>
            <wp:extent cx="168275" cy="168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8275" cy="168275"/>
                    </a:xfrm>
                    <a:prstGeom prst="rect">
                      <a:avLst/>
                    </a:prstGeom>
                    <a:noFill/>
                  </pic:spPr>
                </pic:pic>
              </a:graphicData>
            </a:graphic>
          </wp:anchor>
        </w:drawing>
      </w:r>
    </w:p>
    <w:p>
      <w:pPr>
        <w:spacing w:after="0" w:line="36" w:lineRule="exact"/>
        <w:rPr>
          <w:sz w:val="20"/>
          <w:szCs w:val="20"/>
          <w:color w:val="auto"/>
        </w:rPr>
      </w:pPr>
    </w:p>
    <w:p>
      <w:pPr>
        <w:ind w:left="300" w:hanging="299"/>
        <w:spacing w:after="0"/>
        <w:tabs>
          <w:tab w:leader="none" w:pos="300" w:val="left"/>
        </w:tabs>
        <w:numPr>
          <w:ilvl w:val="0"/>
          <w:numId w:val="2"/>
        </w:numPr>
        <w:rPr>
          <w:rFonts w:ascii="Arial" w:cs="Arial" w:eastAsia="Arial" w:hAnsi="Arial"/>
          <w:sz w:val="13"/>
          <w:szCs w:val="13"/>
          <w:i w:val="1"/>
          <w:iCs w:val="1"/>
          <w:color w:val="231F20"/>
        </w:rPr>
      </w:pPr>
      <w:r>
        <w:rPr>
          <w:rFonts w:ascii="Arial" w:cs="Arial" w:eastAsia="Arial" w:hAnsi="Arial"/>
          <w:sz w:val="13"/>
          <w:szCs w:val="13"/>
          <w:i w:val="1"/>
          <w:iCs w:val="1"/>
          <w:color w:val="231F20"/>
        </w:rPr>
        <w:t>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254635</wp:posOffset>
            </wp:positionV>
            <wp:extent cx="6411595" cy="21316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11595" cy="2131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0980" w:type="dxa"/>
            <w:vAlign w:val="bottom"/>
          </w:tcPr>
          <w:p>
            <w:pPr>
              <w:ind w:left="8960"/>
              <w:spacing w:after="0"/>
              <w:rPr>
                <w:sz w:val="20"/>
                <w:szCs w:val="20"/>
                <w:color w:val="auto"/>
              </w:rPr>
            </w:pPr>
            <w:r>
              <w:rPr>
                <w:rFonts w:ascii="Arial" w:cs="Arial" w:eastAsia="Arial" w:hAnsi="Arial"/>
                <w:sz w:val="15"/>
                <w:szCs w:val="15"/>
                <w:color w:val="00304D"/>
              </w:rPr>
              <w:t>2026 PROXY STATEMENT</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00304D"/>
              </w:rPr>
              <w:t>6</w:t>
            </w:r>
          </w:p>
        </w:tc>
      </w:tr>
      <w:tr>
        <w:trPr>
          <w:trHeight w:val="235"/>
        </w:trPr>
        <w:tc>
          <w:tcPr>
            <w:tcW w:w="1098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4993640</wp:posOffset>
            </wp:positionH>
            <wp:positionV relativeFrom="paragraph">
              <wp:posOffset>-295910</wp:posOffset>
            </wp:positionV>
            <wp:extent cx="641350" cy="1041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1350" cy="10414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5"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Strategic Developments</w:t>
      </w:r>
    </w:p>
    <w:p>
      <w:pPr>
        <w:spacing w:after="0" w:line="200" w:lineRule="exact"/>
        <w:rPr>
          <w:sz w:val="20"/>
          <w:szCs w:val="20"/>
          <w:color w:val="auto"/>
        </w:rPr>
      </w:pP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During 2025, Middleby successfully advanced its portfolio transformation strategy to separate its three foodservice equipment businesses into standalone companies. These actions are intended to create independent, best-in-class businesses, better position each company for long-term growth, and unlock shareholder value. We also executed on strategic growth investments expanding market opportunities and further strengthening both our Commercial Foodservice and Food Processing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212725</wp:posOffset>
            </wp:positionV>
            <wp:extent cx="6411595" cy="52819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11595" cy="5281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980" w:type="dxa"/>
            <w:vAlign w:val="bottom"/>
          </w:tcPr>
          <w:p>
            <w:pPr>
              <w:ind w:left="8960"/>
              <w:spacing w:after="0"/>
              <w:rPr>
                <w:sz w:val="20"/>
                <w:szCs w:val="20"/>
                <w:color w:val="auto"/>
              </w:rPr>
            </w:pPr>
            <w:r>
              <w:rPr>
                <w:rFonts w:ascii="Arial" w:cs="Arial" w:eastAsia="Arial" w:hAnsi="Arial"/>
                <w:sz w:val="15"/>
                <w:szCs w:val="15"/>
                <w:color w:val="00304D"/>
              </w:rPr>
              <w:t>2026 PROXY STATEMENT</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00304D"/>
              </w:rPr>
              <w:t>7</w:t>
            </w:r>
          </w:p>
        </w:tc>
      </w:tr>
      <w:tr>
        <w:trPr>
          <w:trHeight w:val="248"/>
        </w:trPr>
        <w:tc>
          <w:tcPr>
            <w:tcW w:w="1098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4993640</wp:posOffset>
            </wp:positionH>
            <wp:positionV relativeFrom="paragraph">
              <wp:posOffset>-295910</wp:posOffset>
            </wp:positionV>
            <wp:extent cx="641350" cy="958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111760</wp:posOffset>
            </wp:positionV>
            <wp:extent cx="6411595" cy="73253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11595" cy="7325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980" w:type="dxa"/>
            <w:vAlign w:val="bottom"/>
          </w:tcPr>
          <w:p>
            <w:pPr>
              <w:ind w:left="8960"/>
              <w:spacing w:after="0"/>
              <w:rPr>
                <w:sz w:val="20"/>
                <w:szCs w:val="20"/>
                <w:color w:val="auto"/>
              </w:rPr>
            </w:pPr>
            <w:r>
              <w:rPr>
                <w:rFonts w:ascii="Arial" w:cs="Arial" w:eastAsia="Arial" w:hAnsi="Arial"/>
                <w:sz w:val="15"/>
                <w:szCs w:val="15"/>
                <w:color w:val="00304D"/>
              </w:rPr>
              <w:t>2026 PROXY STATEMENT</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00304D"/>
              </w:rPr>
              <w:t>8</w:t>
            </w:r>
          </w:p>
        </w:tc>
      </w:tr>
      <w:tr>
        <w:trPr>
          <w:trHeight w:val="248"/>
        </w:trPr>
        <w:tc>
          <w:tcPr>
            <w:tcW w:w="1098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4993640</wp:posOffset>
            </wp:positionH>
            <wp:positionV relativeFrom="paragraph">
              <wp:posOffset>-295910</wp:posOffset>
            </wp:positionV>
            <wp:extent cx="641350" cy="958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111760</wp:posOffset>
            </wp:positionV>
            <wp:extent cx="6411595" cy="73253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11595" cy="7325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980" w:type="dxa"/>
            <w:vAlign w:val="bottom"/>
          </w:tcPr>
          <w:p>
            <w:pPr>
              <w:ind w:left="8960"/>
              <w:spacing w:after="0"/>
              <w:rPr>
                <w:sz w:val="20"/>
                <w:szCs w:val="20"/>
                <w:color w:val="auto"/>
              </w:rPr>
            </w:pPr>
            <w:r>
              <w:rPr>
                <w:rFonts w:ascii="Arial" w:cs="Arial" w:eastAsia="Arial" w:hAnsi="Arial"/>
                <w:sz w:val="15"/>
                <w:szCs w:val="15"/>
                <w:color w:val="00304D"/>
              </w:rPr>
              <w:t>2026 PROXY STATEMENT</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00304D"/>
              </w:rPr>
              <w:t>9</w:t>
            </w:r>
          </w:p>
        </w:tc>
      </w:tr>
      <w:tr>
        <w:trPr>
          <w:trHeight w:val="248"/>
        </w:trPr>
        <w:tc>
          <w:tcPr>
            <w:tcW w:w="1098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4993640</wp:posOffset>
            </wp:positionH>
            <wp:positionV relativeFrom="paragraph">
              <wp:posOffset>-295910</wp:posOffset>
            </wp:positionV>
            <wp:extent cx="641350" cy="958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111760</wp:posOffset>
            </wp:positionV>
            <wp:extent cx="6411595" cy="73253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11595" cy="7325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111760</wp:posOffset>
            </wp:positionV>
            <wp:extent cx="6411595" cy="69811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11595" cy="6981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111760</wp:posOffset>
            </wp:positionV>
            <wp:extent cx="6411595" cy="73012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11595" cy="730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111760</wp:posOffset>
            </wp:positionV>
            <wp:extent cx="6411595" cy="74860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11595" cy="7486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5"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Compensation Highlights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Our executive compensation program strikes a balance of fixed and variable elements with short- and long-term objectives. As shown below, in fiscal year 2025, 66% of target compensation for our Chief Executive Officer and 63% of target compensation (on average) for our other Named Executive Officers (the “NEOs”) was performance-based and at risk.</w:t>
      </w:r>
    </w:p>
    <w:p>
      <w:pPr>
        <w:spacing w:after="0" w:line="138"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As discussed in the Compensation Discussion and Analysis, our executive compensation program features a combination of base salary, an annual performance-based cash bonus incentive plan, and long-term equity incentive awards. The short- and long-term incentive programs have distinct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wp:posOffset>
            </wp:positionH>
            <wp:positionV relativeFrom="paragraph">
              <wp:posOffset>86995</wp:posOffset>
            </wp:positionV>
            <wp:extent cx="6251575" cy="4359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51575" cy="4359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60" w:hanging="159"/>
        <w:spacing w:after="0"/>
        <w:tabs>
          <w:tab w:leader="none" w:pos="160" w:val="left"/>
        </w:tabs>
        <w:numPr>
          <w:ilvl w:val="0"/>
          <w:numId w:val="3"/>
        </w:numPr>
        <w:rPr>
          <w:rFonts w:ascii="Arial" w:cs="Arial" w:eastAsia="Arial" w:hAnsi="Arial"/>
          <w:sz w:val="15"/>
          <w:szCs w:val="15"/>
          <w:i w:val="1"/>
          <w:iCs w:val="1"/>
          <w:color w:val="auto"/>
        </w:rPr>
      </w:pPr>
      <w:r>
        <w:rPr>
          <w:rFonts w:ascii="Arial" w:cs="Arial" w:eastAsia="Arial" w:hAnsi="Arial"/>
          <w:sz w:val="15"/>
          <w:szCs w:val="15"/>
          <w:i w:val="1"/>
          <w:iCs w:val="1"/>
          <w:color w:val="auto"/>
        </w:rPr>
        <w:t>2025 Realized Compensation includes the following:</w:t>
      </w:r>
    </w:p>
    <w:p>
      <w:pPr>
        <w:spacing w:after="0" w:line="79" w:lineRule="exact"/>
        <w:rPr>
          <w:rFonts w:ascii="Arial" w:cs="Arial" w:eastAsia="Arial" w:hAnsi="Arial"/>
          <w:sz w:val="15"/>
          <w:szCs w:val="15"/>
          <w:i w:val="1"/>
          <w:iCs w:val="1"/>
          <w:color w:val="auto"/>
        </w:rPr>
      </w:pPr>
    </w:p>
    <w:p>
      <w:pPr>
        <w:ind w:left="160"/>
        <w:spacing w:after="0"/>
        <w:rPr>
          <w:rFonts w:ascii="Arial" w:cs="Arial" w:eastAsia="Arial" w:hAnsi="Arial"/>
          <w:sz w:val="15"/>
          <w:szCs w:val="15"/>
          <w:i w:val="1"/>
          <w:iCs w:val="1"/>
          <w:color w:val="auto"/>
        </w:rPr>
      </w:pPr>
      <w:r>
        <w:rPr>
          <w:rFonts w:ascii="Arial" w:cs="Arial" w:eastAsia="Arial" w:hAnsi="Arial"/>
          <w:sz w:val="15"/>
          <w:szCs w:val="15"/>
          <w:b w:val="1"/>
          <w:bCs w:val="1"/>
          <w:i w:val="1"/>
          <w:iCs w:val="1"/>
          <w:color w:val="auto"/>
        </w:rPr>
        <w:t xml:space="preserve">Base Salary </w:t>
      </w:r>
      <w:r>
        <w:rPr>
          <w:rFonts w:ascii="Arial" w:cs="Arial" w:eastAsia="Arial" w:hAnsi="Arial"/>
          <w:sz w:val="15"/>
          <w:szCs w:val="15"/>
          <w:i w:val="1"/>
          <w:iCs w:val="1"/>
          <w:color w:val="auto"/>
        </w:rPr>
        <w:t>represents the fixed cash remuneration paid in fiscal year 2025.</w:t>
      </w:r>
    </w:p>
    <w:p>
      <w:pPr>
        <w:spacing w:after="0" w:line="79" w:lineRule="exact"/>
        <w:rPr>
          <w:rFonts w:ascii="Arial" w:cs="Arial" w:eastAsia="Arial" w:hAnsi="Arial"/>
          <w:sz w:val="15"/>
          <w:szCs w:val="15"/>
          <w:i w:val="1"/>
          <w:iCs w:val="1"/>
          <w:color w:val="auto"/>
        </w:rPr>
      </w:pPr>
    </w:p>
    <w:p>
      <w:pPr>
        <w:ind w:left="160"/>
        <w:spacing w:after="0"/>
        <w:rPr>
          <w:rFonts w:ascii="Arial" w:cs="Arial" w:eastAsia="Arial" w:hAnsi="Arial"/>
          <w:sz w:val="15"/>
          <w:szCs w:val="15"/>
          <w:i w:val="1"/>
          <w:iCs w:val="1"/>
          <w:color w:val="auto"/>
        </w:rPr>
      </w:pPr>
      <w:r>
        <w:rPr>
          <w:rFonts w:ascii="Arial" w:cs="Arial" w:eastAsia="Arial" w:hAnsi="Arial"/>
          <w:sz w:val="15"/>
          <w:szCs w:val="15"/>
          <w:b w:val="1"/>
          <w:bCs w:val="1"/>
          <w:i w:val="1"/>
          <w:iCs w:val="1"/>
          <w:color w:val="auto"/>
        </w:rPr>
        <w:t xml:space="preserve">Annual Incentive Bonus Plan </w:t>
      </w:r>
      <w:r>
        <w:rPr>
          <w:rFonts w:ascii="Arial" w:cs="Arial" w:eastAsia="Arial" w:hAnsi="Arial"/>
          <w:sz w:val="15"/>
          <w:szCs w:val="15"/>
          <w:i w:val="1"/>
          <w:iCs w:val="1"/>
          <w:color w:val="auto"/>
        </w:rPr>
        <w:t>represents the annual cash incentive paid with respect to services performed in fiscal year 2025.</w:t>
      </w:r>
    </w:p>
    <w:p>
      <w:pPr>
        <w:spacing w:after="0" w:line="79" w:lineRule="exact"/>
        <w:rPr>
          <w:rFonts w:ascii="Arial" w:cs="Arial" w:eastAsia="Arial" w:hAnsi="Arial"/>
          <w:sz w:val="15"/>
          <w:szCs w:val="15"/>
          <w:i w:val="1"/>
          <w:iCs w:val="1"/>
          <w:color w:val="auto"/>
        </w:rPr>
      </w:pPr>
    </w:p>
    <w:p>
      <w:pPr>
        <w:ind w:left="160"/>
        <w:spacing w:after="0" w:line="282" w:lineRule="auto"/>
        <w:rPr>
          <w:rFonts w:ascii="Arial" w:cs="Arial" w:eastAsia="Arial" w:hAnsi="Arial"/>
          <w:sz w:val="15"/>
          <w:szCs w:val="15"/>
          <w:i w:val="1"/>
          <w:iCs w:val="1"/>
          <w:color w:val="auto"/>
        </w:rPr>
      </w:pPr>
      <w:r>
        <w:rPr>
          <w:rFonts w:ascii="Arial" w:cs="Arial" w:eastAsia="Arial" w:hAnsi="Arial"/>
          <w:sz w:val="15"/>
          <w:szCs w:val="15"/>
          <w:b w:val="1"/>
          <w:bCs w:val="1"/>
          <w:i w:val="1"/>
          <w:iCs w:val="1"/>
          <w:color w:val="auto"/>
        </w:rPr>
        <w:t xml:space="preserve">Time-Based RSU Awards </w:t>
      </w:r>
      <w:r>
        <w:rPr>
          <w:rFonts w:ascii="Arial" w:cs="Arial" w:eastAsia="Arial" w:hAnsi="Arial"/>
          <w:sz w:val="15"/>
          <w:szCs w:val="15"/>
          <w:i w:val="1"/>
          <w:iCs w:val="1"/>
          <w:color w:val="auto"/>
        </w:rPr>
        <w:t>represents the vesting date value of time-based RSUs that vested in the first quarter of 2026 with respect to services performed in the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2025 fiscal year.</w:t>
      </w:r>
    </w:p>
    <w:p>
      <w:pPr>
        <w:spacing w:after="0" w:line="23" w:lineRule="exact"/>
        <w:rPr>
          <w:rFonts w:ascii="Arial" w:cs="Arial" w:eastAsia="Arial" w:hAnsi="Arial"/>
          <w:sz w:val="15"/>
          <w:szCs w:val="15"/>
          <w:i w:val="1"/>
          <w:iCs w:val="1"/>
          <w:color w:val="auto"/>
        </w:rPr>
      </w:pPr>
    </w:p>
    <w:p>
      <w:pPr>
        <w:ind w:left="160"/>
        <w:spacing w:after="0" w:line="282" w:lineRule="auto"/>
        <w:rPr>
          <w:rFonts w:ascii="Arial" w:cs="Arial" w:eastAsia="Arial" w:hAnsi="Arial"/>
          <w:sz w:val="15"/>
          <w:szCs w:val="15"/>
          <w:i w:val="1"/>
          <w:iCs w:val="1"/>
          <w:color w:val="auto"/>
        </w:rPr>
      </w:pPr>
      <w:r>
        <w:rPr>
          <w:rFonts w:ascii="Arial" w:cs="Arial" w:eastAsia="Arial" w:hAnsi="Arial"/>
          <w:sz w:val="15"/>
          <w:szCs w:val="15"/>
          <w:b w:val="1"/>
          <w:bCs w:val="1"/>
          <w:i w:val="1"/>
          <w:iCs w:val="1"/>
          <w:color w:val="auto"/>
        </w:rPr>
        <w:t xml:space="preserve">Performance-Based PSU Awards </w:t>
      </w:r>
      <w:r>
        <w:rPr>
          <w:rFonts w:ascii="Arial" w:cs="Arial" w:eastAsia="Arial" w:hAnsi="Arial"/>
          <w:sz w:val="15"/>
          <w:szCs w:val="15"/>
          <w:i w:val="1"/>
          <w:iCs w:val="1"/>
          <w:color w:val="auto"/>
        </w:rPr>
        <w:t>represents the value on the vesting date of performance-based PSUs that vested in the first quarter of 2026 with respect to</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services performed in the 2025 fiscal year.</w:t>
      </w:r>
    </w:p>
    <w:p>
      <w:pPr>
        <w:spacing w:after="0" w:line="12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1041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1350" cy="10414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5"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Corporate Governance Highlights</w:t>
      </w:r>
    </w:p>
    <w:p>
      <w:pPr>
        <w:spacing w:after="0" w:line="187"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We believe that robust corporate governance is critical for making prudent decisions in the long-term interests of stockholders. Below are key elements of our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86995</wp:posOffset>
            </wp:positionV>
            <wp:extent cx="7132955" cy="144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955" cy="1441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p>
      <w:pPr>
        <w:spacing w:after="0" w:line="15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34290</wp:posOffset>
            </wp:positionV>
            <wp:extent cx="168275" cy="168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8275" cy="168275"/>
                    </a:xfrm>
                    <a:prstGeom prst="rect">
                      <a:avLst/>
                    </a:prstGeom>
                    <a:noFill/>
                  </pic:spPr>
                </pic:pic>
              </a:graphicData>
            </a:graphic>
          </wp:anchor>
        </w:drawing>
      </w:r>
    </w:p>
    <w:p>
      <w:pPr>
        <w:spacing w:after="0" w:line="6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Majority vote standard for uncontested director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50800</wp:posOffset>
            </wp:positionV>
            <wp:extent cx="3494405" cy="1841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94405" cy="184150"/>
                    </a:xfrm>
                    <a:prstGeom prst="rect">
                      <a:avLst/>
                    </a:prstGeom>
                    <a:noFill/>
                  </pic:spPr>
                </pic:pic>
              </a:graphicData>
            </a:graphic>
          </wp:anchor>
        </w:drawing>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Eleven out of twelve directors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50800</wp:posOffset>
            </wp:positionV>
            <wp:extent cx="3494405" cy="1841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94405" cy="184150"/>
                    </a:xfrm>
                    <a:prstGeom prst="rect">
                      <a:avLst/>
                    </a:prstGeom>
                    <a:noFill/>
                  </pic:spPr>
                </pic:pic>
              </a:graphicData>
            </a:graphic>
          </wp:anchor>
        </w:drawing>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Completely independent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50800</wp:posOffset>
            </wp:positionV>
            <wp:extent cx="3494405" cy="1841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94405" cy="184150"/>
                    </a:xfrm>
                    <a:prstGeom prst="rect">
                      <a:avLst/>
                    </a:prstGeom>
                    <a:noFill/>
                  </pic:spPr>
                </pic:pic>
              </a:graphicData>
            </a:graphic>
          </wp:anchor>
        </w:drawing>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Separate Chairman and CEO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50800</wp:posOffset>
            </wp:positionV>
            <wp:extent cx="3494405" cy="1841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94405" cy="184150"/>
                    </a:xfrm>
                    <a:prstGeom prst="rect">
                      <a:avLst/>
                    </a:prstGeom>
                    <a:noFill/>
                  </pic:spPr>
                </pic:pic>
              </a:graphicData>
            </a:graphic>
          </wp:anchor>
        </w:drawing>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Independent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50800</wp:posOffset>
            </wp:positionV>
            <wp:extent cx="3494405" cy="1841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94405" cy="184150"/>
                    </a:xfrm>
                    <a:prstGeom prst="rect">
                      <a:avLst/>
                    </a:prstGeom>
                    <a:noFill/>
                  </pic:spPr>
                </pic:pic>
              </a:graphicData>
            </a:graphic>
          </wp:anchor>
        </w:drawing>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Annual stockholder engagement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50800</wp:posOffset>
            </wp:positionV>
            <wp:extent cx="34944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94405" cy="8255"/>
                    </a:xfrm>
                    <a:prstGeom prst="rect">
                      <a:avLst/>
                    </a:prstGeom>
                    <a:noFill/>
                  </pic:spPr>
                </pic:pic>
              </a:graphicData>
            </a:graphic>
          </wp:anchor>
        </w:drawing>
      </w:r>
    </w:p>
    <w:p>
      <w:pPr>
        <w:spacing w:after="0" w:line="73" w:lineRule="exact"/>
        <w:rPr>
          <w:sz w:val="20"/>
          <w:szCs w:val="20"/>
          <w:color w:val="auto"/>
        </w:rPr>
      </w:pPr>
    </w:p>
    <w:p>
      <w:pPr>
        <w:ind w:left="540" w:right="200"/>
        <w:spacing w:after="0" w:line="263" w:lineRule="auto"/>
        <w:rPr>
          <w:sz w:val="20"/>
          <w:szCs w:val="20"/>
          <w:color w:val="auto"/>
        </w:rPr>
      </w:pPr>
      <w:r>
        <w:rPr>
          <w:rFonts w:ascii="Arial" w:cs="Arial" w:eastAsia="Arial" w:hAnsi="Arial"/>
          <w:sz w:val="15"/>
          <w:szCs w:val="15"/>
          <w:color w:val="auto"/>
        </w:rPr>
        <w:t>Independent reviews by the Board and Audit Committee of the Company’s strategy, business, and the related key risks and mitigation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34944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9440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-271780</wp:posOffset>
            </wp:positionV>
            <wp:extent cx="168275" cy="168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8275" cy="168275"/>
                    </a:xfrm>
                    <a:prstGeom prst="rect">
                      <a:avLst/>
                    </a:prstGeom>
                    <a:noFill/>
                  </pic:spPr>
                </pic:pic>
              </a:graphicData>
            </a:graphic>
          </wp:anchor>
        </w:drawing>
      </w:r>
    </w:p>
    <w:p>
      <w:pPr>
        <w:ind w:left="540" w:right="260"/>
        <w:spacing w:after="0" w:line="272" w:lineRule="auto"/>
        <w:rPr>
          <w:sz w:val="20"/>
          <w:szCs w:val="20"/>
          <w:color w:val="auto"/>
        </w:rPr>
      </w:pPr>
      <w:r>
        <w:rPr>
          <w:rFonts w:ascii="Arial" w:cs="Arial" w:eastAsia="Arial" w:hAnsi="Arial"/>
          <w:sz w:val="15"/>
          <w:szCs w:val="15"/>
          <w:color w:val="auto"/>
        </w:rPr>
        <w:t>Executive sessions at every in-person or virtual Board and committee meeting without management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34944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9440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-215900</wp:posOffset>
            </wp:positionV>
            <wp:extent cx="168275" cy="168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8275" cy="168275"/>
                    </a:xfrm>
                    <a:prstGeom prst="rect">
                      <a:avLst/>
                    </a:prstGeom>
                    <a:noFill/>
                  </pic:spPr>
                </pic:pic>
              </a:graphicData>
            </a:graphic>
          </wp:anchor>
        </w:drawing>
      </w:r>
    </w:p>
    <w:p>
      <w:pPr>
        <w:ind w:left="540" w:right="260"/>
        <w:spacing w:after="0" w:line="282" w:lineRule="auto"/>
        <w:rPr>
          <w:sz w:val="20"/>
          <w:szCs w:val="20"/>
          <w:color w:val="auto"/>
        </w:rPr>
      </w:pPr>
      <w:r>
        <w:rPr>
          <w:rFonts w:ascii="Arial" w:cs="Arial" w:eastAsia="Arial" w:hAnsi="Arial"/>
          <w:sz w:val="15"/>
          <w:szCs w:val="15"/>
          <w:color w:val="auto"/>
        </w:rPr>
        <w:t>Clawback Policy applicable to all executive officers and other covered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-224790</wp:posOffset>
            </wp:positionV>
            <wp:extent cx="3494405" cy="392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94405" cy="392430"/>
                    </a:xfrm>
                    <a:prstGeom prst="rect">
                      <a:avLst/>
                    </a:prstGeom>
                    <a:noFill/>
                  </pic:spPr>
                </pic:pic>
              </a:graphicData>
            </a:graphic>
          </wp:anchor>
        </w:drawing>
      </w:r>
    </w:p>
    <w:p>
      <w:pPr>
        <w:spacing w:after="0" w:line="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Confidential, multilingual Anonymous Ethics and Compliance Hotline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50800</wp:posOffset>
            </wp:positionV>
            <wp:extent cx="34944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94405" cy="8255"/>
                    </a:xfrm>
                    <a:prstGeom prst="rect">
                      <a:avLst/>
                    </a:prstGeom>
                    <a:noFill/>
                  </pic:spPr>
                </pic:pic>
              </a:graphicData>
            </a:graphic>
          </wp:anchor>
        </w:drawing>
      </w:r>
    </w:p>
    <w:p>
      <w:pPr>
        <w:spacing w:after="0" w:line="73" w:lineRule="exact"/>
        <w:rPr>
          <w:sz w:val="20"/>
          <w:szCs w:val="20"/>
          <w:color w:val="auto"/>
        </w:rPr>
      </w:pPr>
    </w:p>
    <w:p>
      <w:pPr>
        <w:ind w:left="540" w:right="860"/>
        <w:spacing w:after="0" w:line="282" w:lineRule="auto"/>
        <w:rPr>
          <w:sz w:val="20"/>
          <w:szCs w:val="20"/>
          <w:color w:val="auto"/>
        </w:rPr>
      </w:pPr>
      <w:r>
        <w:rPr>
          <w:rFonts w:ascii="Arial" w:cs="Arial" w:eastAsia="Arial" w:hAnsi="Arial"/>
          <w:sz w:val="15"/>
          <w:szCs w:val="15"/>
          <w:color w:val="auto"/>
        </w:rPr>
        <w:t>The Compensation Committee is advised by an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-224790</wp:posOffset>
            </wp:positionV>
            <wp:extent cx="3494405" cy="392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94405" cy="392430"/>
                    </a:xfrm>
                    <a:prstGeom prst="rect">
                      <a:avLst/>
                    </a:prstGeom>
                    <a:noFill/>
                  </pic:spPr>
                </pic:pic>
              </a:graphicData>
            </a:graphic>
          </wp:anchor>
        </w:drawing>
      </w:r>
    </w:p>
    <w:p>
      <w:pPr>
        <w:spacing w:after="0" w:line="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Comprehensive Sustainability Report refreshed on periodic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50800</wp:posOffset>
            </wp:positionV>
            <wp:extent cx="3494405" cy="1841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94405" cy="184150"/>
                    </a:xfrm>
                    <a:prstGeom prst="rect">
                      <a:avLst/>
                    </a:prstGeom>
                    <a:noFill/>
                  </pic:spPr>
                </pic:pic>
              </a:graphicData>
            </a:graphic>
          </wp:anchor>
        </w:drawing>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Annual Board skillset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50800</wp:posOffset>
            </wp:positionV>
            <wp:extent cx="3494405" cy="1841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94405" cy="184150"/>
                    </a:xfrm>
                    <a:prstGeom prst="rect">
                      <a:avLst/>
                    </a:prstGeom>
                    <a:noFill/>
                  </pic:spPr>
                </pic:pic>
              </a:graphicData>
            </a:graphic>
          </wp:anchor>
        </w:drawing>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50800</wp:posOffset>
            </wp:positionV>
            <wp:extent cx="3494405" cy="1841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94405" cy="184150"/>
                    </a:xfrm>
                    <a:prstGeom prst="rect">
                      <a:avLst/>
                    </a:prstGeom>
                    <a:noFill/>
                  </pic:spPr>
                </pic:pic>
              </a:graphicData>
            </a:graphic>
          </wp:anchor>
        </w:drawing>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Annual Board and committee self-evaluations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50800</wp:posOffset>
            </wp:positionV>
            <wp:extent cx="34944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94405" cy="8255"/>
                    </a:xfrm>
                    <a:prstGeom prst="rect">
                      <a:avLst/>
                    </a:prstGeom>
                    <a:noFill/>
                  </pic:spPr>
                </pic:pic>
              </a:graphicData>
            </a:graphic>
          </wp:anchor>
        </w:drawing>
      </w:r>
    </w:p>
    <w:p>
      <w:pPr>
        <w:spacing w:after="0" w:line="73" w:lineRule="exact"/>
        <w:rPr>
          <w:sz w:val="20"/>
          <w:szCs w:val="20"/>
          <w:color w:val="auto"/>
        </w:rPr>
      </w:pPr>
    </w:p>
    <w:p>
      <w:pPr>
        <w:ind w:left="540" w:right="360"/>
        <w:spacing w:after="0" w:line="282" w:lineRule="auto"/>
        <w:rPr>
          <w:sz w:val="20"/>
          <w:szCs w:val="20"/>
          <w:color w:val="auto"/>
        </w:rPr>
      </w:pPr>
      <w:r>
        <w:rPr>
          <w:rFonts w:ascii="Arial" w:cs="Arial" w:eastAsia="Arial" w:hAnsi="Arial"/>
          <w:sz w:val="15"/>
          <w:szCs w:val="15"/>
          <w:color w:val="auto"/>
        </w:rPr>
        <w:t>Stock ownership guidelines for executive officers and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-224790</wp:posOffset>
            </wp:positionV>
            <wp:extent cx="3494405" cy="392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94405" cy="392430"/>
                    </a:xfrm>
                    <a:prstGeom prst="rect">
                      <a:avLst/>
                    </a:prstGeom>
                    <a:noFill/>
                  </pic:spPr>
                </pic:pic>
              </a:graphicData>
            </a:graphic>
          </wp:anchor>
        </w:drawing>
      </w:r>
    </w:p>
    <w:p>
      <w:pPr>
        <w:spacing w:after="0" w:line="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Middleby Code of Conduct and related training and compliance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50800</wp:posOffset>
            </wp:positionV>
            <wp:extent cx="34944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94405" cy="8255"/>
                    </a:xfrm>
                    <a:prstGeom prst="rect">
                      <a:avLst/>
                    </a:prstGeom>
                    <a:noFill/>
                  </pic:spPr>
                </pic:pic>
              </a:graphicData>
            </a:graphic>
          </wp:anchor>
        </w:drawing>
      </w:r>
    </w:p>
    <w:p>
      <w:pPr>
        <w:spacing w:after="0" w:line="73" w:lineRule="exact"/>
        <w:rPr>
          <w:sz w:val="20"/>
          <w:szCs w:val="20"/>
          <w:color w:val="auto"/>
        </w:rPr>
      </w:pPr>
    </w:p>
    <w:p>
      <w:pPr>
        <w:ind w:left="540" w:right="240"/>
        <w:spacing w:after="0" w:line="282" w:lineRule="auto"/>
        <w:rPr>
          <w:sz w:val="20"/>
          <w:szCs w:val="20"/>
          <w:color w:val="auto"/>
        </w:rPr>
      </w:pPr>
      <w:r>
        <w:rPr>
          <w:rFonts w:ascii="Arial" w:cs="Arial" w:eastAsia="Arial" w:hAnsi="Arial"/>
          <w:sz w:val="15"/>
          <w:szCs w:val="15"/>
          <w:color w:val="auto"/>
        </w:rPr>
        <w:t>EHS Policy, Equal Employment Opportunity Policy and Human Rights Policy made publicly available on Company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-224790</wp:posOffset>
            </wp:positionV>
            <wp:extent cx="3494405" cy="392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94405" cy="392430"/>
                    </a:xfrm>
                    <a:prstGeom prst="rect">
                      <a:avLst/>
                    </a:prstGeom>
                    <a:noFill/>
                  </pic:spPr>
                </pic:pic>
              </a:graphicData>
            </a:graphic>
          </wp:anchor>
        </w:drawing>
      </w:r>
    </w:p>
    <w:p>
      <w:pPr>
        <w:spacing w:after="0" w:line="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Supplier Code of Conduct applicable to all suppliers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50800</wp:posOffset>
            </wp:positionV>
            <wp:extent cx="3494405" cy="1841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94405" cy="184150"/>
                    </a:xfrm>
                    <a:prstGeom prst="rect">
                      <a:avLst/>
                    </a:prstGeom>
                    <a:noFill/>
                  </pic:spPr>
                </pic:pic>
              </a:graphicData>
            </a:graphic>
          </wp:anchor>
        </w:drawing>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Annual Code of Conduct training for all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50800</wp:posOffset>
            </wp:positionV>
            <wp:extent cx="3494405" cy="1841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94405" cy="184150"/>
                    </a:xfrm>
                    <a:prstGeom prst="rect">
                      <a:avLst/>
                    </a:prstGeom>
                    <a:noFill/>
                  </pic:spPr>
                </pic:pic>
              </a:graphicData>
            </a:graphic>
          </wp:anchor>
        </w:drawing>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Enhanced disclosure of robust cybersecurity training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50800</wp:posOffset>
            </wp:positionV>
            <wp:extent cx="3494405" cy="1841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94405" cy="184150"/>
                    </a:xfrm>
                    <a:prstGeom prst="rect">
                      <a:avLst/>
                    </a:prstGeom>
                    <a:noFill/>
                  </pic:spPr>
                </pic:pic>
              </a:graphicData>
            </a:graphic>
          </wp:anchor>
        </w:drawing>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Anti-Bribery Policy made publicly available on Company’s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50800</wp:posOffset>
            </wp:positionV>
            <wp:extent cx="3494405"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94405"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168275" cy="168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8275" cy="168275"/>
                    </a:xfrm>
                    <a:prstGeom prst="rect">
                      <a:avLst/>
                    </a:prstGeom>
                    <a:noFill/>
                  </pic:spPr>
                </pic:pic>
              </a:graphicData>
            </a:graphic>
          </wp:anchor>
        </w:drawing>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 golden parachute tax gross-ups for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50800</wp:posOffset>
            </wp:positionV>
            <wp:extent cx="3494405" cy="1841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94405" cy="184150"/>
                    </a:xfrm>
                    <a:prstGeom prst="rect">
                      <a:avLst/>
                    </a:prstGeom>
                    <a:noFill/>
                  </pic:spPr>
                </pic:pic>
              </a:graphicData>
            </a:graphic>
          </wp:anchor>
        </w:drawing>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 poison pill in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50800</wp:posOffset>
            </wp:positionV>
            <wp:extent cx="3494405" cy="1841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94405" cy="184150"/>
                    </a:xfrm>
                    <a:prstGeom prst="rect">
                      <a:avLst/>
                    </a:prstGeom>
                    <a:noFill/>
                  </pic:spPr>
                </pic:pic>
              </a:graphicData>
            </a:graphic>
          </wp:anchor>
        </w:drawing>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 stock option repricing without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50800</wp:posOffset>
            </wp:positionV>
            <wp:extent cx="3494405" cy="1841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94405" cy="184150"/>
                    </a:xfrm>
                    <a:prstGeom prst="rect">
                      <a:avLst/>
                    </a:prstGeom>
                    <a:noFill/>
                  </pic:spPr>
                </pic:pic>
              </a:graphicData>
            </a:graphic>
          </wp:anchor>
        </w:drawing>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 excessive perquisites for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50800</wp:posOffset>
            </wp:positionV>
            <wp:extent cx="3494405" cy="1841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94405" cy="184150"/>
                    </a:xfrm>
                    <a:prstGeom prst="rect">
                      <a:avLst/>
                    </a:prstGeom>
                    <a:noFill/>
                  </pic:spPr>
                </pic:pic>
              </a:graphicData>
            </a:graphic>
          </wp:anchor>
        </w:drawing>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 dividends paid or accumulated on unvested RSUs or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50800</wp:posOffset>
            </wp:positionV>
            <wp:extent cx="34944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94405" cy="8255"/>
                    </a:xfrm>
                    <a:prstGeom prst="rect">
                      <a:avLst/>
                    </a:prstGeom>
                    <a:noFill/>
                  </pic:spPr>
                </pic:pic>
              </a:graphicData>
            </a:graphic>
          </wp:anchor>
        </w:drawing>
      </w:r>
    </w:p>
    <w:p>
      <w:pPr>
        <w:spacing w:after="0" w:line="73" w:lineRule="exact"/>
        <w:rPr>
          <w:sz w:val="20"/>
          <w:szCs w:val="20"/>
          <w:color w:val="auto"/>
        </w:rPr>
      </w:pPr>
    </w:p>
    <w:p>
      <w:pPr>
        <w:ind w:left="460" w:right="120"/>
        <w:spacing w:after="0" w:line="282" w:lineRule="auto"/>
        <w:rPr>
          <w:sz w:val="20"/>
          <w:szCs w:val="20"/>
          <w:color w:val="auto"/>
        </w:rPr>
      </w:pPr>
      <w:r>
        <w:rPr>
          <w:rFonts w:ascii="Arial" w:cs="Arial" w:eastAsia="Arial" w:hAnsi="Arial"/>
          <w:sz w:val="15"/>
          <w:szCs w:val="15"/>
          <w:color w:val="auto"/>
        </w:rPr>
        <w:t>No hedging, pledging and short selling of Company stock per our Insider Trading Compliance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-16510</wp:posOffset>
            </wp:positionV>
            <wp:extent cx="3494405"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9440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-224790</wp:posOffset>
            </wp:positionV>
            <wp:extent cx="168275" cy="168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8275" cy="168275"/>
                    </a:xfrm>
                    <a:prstGeom prst="rect">
                      <a:avLst/>
                    </a:prstGeom>
                    <a:noFill/>
                  </pic:spPr>
                </pic:pic>
              </a:graphicData>
            </a:graphic>
          </wp:anchor>
        </w:drawing>
      </w:r>
    </w:p>
    <w:p>
      <w:pPr>
        <w:spacing w:after="0" w:line="5571" w:lineRule="exact"/>
        <w:rPr>
          <w:sz w:val="20"/>
          <w:szCs w:val="20"/>
          <w:color w:val="auto"/>
        </w:rPr>
      </w:pPr>
    </w:p>
    <w:p>
      <w:pPr>
        <w:sectPr>
          <w:pgSz w:w="11900" w:h="16838" w:orient="portrait"/>
          <w:cols w:equalWidth="0" w:num="2">
            <w:col w:w="5460" w:space="360"/>
            <w:col w:w="5420"/>
          </w:cols>
          <w:pgMar w:left="320" w:top="231" w:right="339" w:bottom="1440" w:gutter="0" w:footer="0" w:header="0"/>
          <w:type w:val="continuous"/>
        </w:sectPr>
      </w:pPr>
    </w:p>
    <w:p>
      <w:pPr>
        <w:spacing w:after="0" w:line="246" w:lineRule="exact"/>
        <w:rPr>
          <w:sz w:val="20"/>
          <w:szCs w:val="20"/>
          <w:color w:val="auto"/>
        </w:rPr>
      </w:pPr>
    </w:p>
    <w:p>
      <w:pPr>
        <w:ind w:left="8960"/>
        <w:spacing w:after="0"/>
        <w:tabs>
          <w:tab w:leader="none" w:pos="1106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4" w:lineRule="exact"/>
        <w:rPr>
          <w:sz w:val="20"/>
          <w:szCs w:val="20"/>
          <w:color w:val="auto"/>
        </w:rPr>
      </w:pPr>
    </w:p>
    <w:p>
      <w:pPr>
        <w:spacing w:after="0"/>
        <w:rPr>
          <w:sz w:val="20"/>
          <w:szCs w:val="20"/>
          <w:color w:val="auto"/>
        </w:rPr>
      </w:pPr>
      <w:r>
        <w:rPr>
          <w:rFonts w:ascii="Arial" w:cs="Arial" w:eastAsia="Arial" w:hAnsi="Arial"/>
          <w:sz w:val="27"/>
          <w:szCs w:val="27"/>
          <w:b w:val="1"/>
          <w:bCs w:val="1"/>
          <w:color w:val="265E7C"/>
        </w:rPr>
        <w:t>Proposal No. 1</w:t>
      </w:r>
    </w:p>
    <w:p>
      <w:pPr>
        <w:spacing w:after="0" w:line="35" w:lineRule="exact"/>
        <w:rPr>
          <w:sz w:val="20"/>
          <w:szCs w:val="20"/>
          <w:color w:val="auto"/>
        </w:rPr>
      </w:pPr>
    </w:p>
    <w:p>
      <w:pPr>
        <w:spacing w:after="0"/>
        <w:rPr>
          <w:sz w:val="20"/>
          <w:szCs w:val="20"/>
          <w:color w:val="auto"/>
        </w:rPr>
      </w:pPr>
      <w:r>
        <w:rPr>
          <w:rFonts w:ascii="Arial" w:cs="Arial" w:eastAsia="Arial" w:hAnsi="Arial"/>
          <w:sz w:val="34"/>
          <w:szCs w:val="34"/>
          <w:b w:val="1"/>
          <w:bCs w:val="1"/>
          <w:color w:val="00304D"/>
        </w:rPr>
        <w:t>Election of Directors</w:t>
      </w:r>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color w:val="auto"/>
        </w:rPr>
        <w:t>The Board has nominated eleven current directors to serve as directors until the 2027 Annual Meeting of Stockholders and until their successors are duly elected and</w:t>
      </w:r>
    </w:p>
    <w:p>
      <w:pPr>
        <w:spacing w:after="0" w:line="16" w:lineRule="exact"/>
        <w:rPr>
          <w:sz w:val="20"/>
          <w:szCs w:val="20"/>
          <w:color w:val="auto"/>
        </w:rPr>
      </w:pPr>
    </w:p>
    <w:p>
      <w:pPr>
        <w:jc w:val="both"/>
        <w:spacing w:after="0" w:line="225" w:lineRule="auto"/>
        <w:rPr>
          <w:sz w:val="20"/>
          <w:szCs w:val="20"/>
          <w:color w:val="auto"/>
        </w:rPr>
      </w:pPr>
      <w:r>
        <w:rPr>
          <w:rFonts w:ascii="Arial" w:cs="Arial" w:eastAsia="Arial" w:hAnsi="Arial"/>
          <w:sz w:val="15"/>
          <w:szCs w:val="15"/>
          <w:color w:val="auto"/>
        </w:rPr>
        <w:t>qualified or until their earlier death, resignation, or removal.</w:t>
      </w:r>
      <w:r>
        <w:rPr>
          <w:rFonts w:ascii="Arial" w:cs="Arial" w:eastAsia="Arial" w:hAnsi="Arial"/>
          <w:sz w:val="25"/>
          <w:szCs w:val="25"/>
          <w:color w:val="auto"/>
          <w:vertAlign w:val="superscript"/>
        </w:rPr>
        <w:t>(1)</w:t>
      </w:r>
      <w:r>
        <w:rPr>
          <w:rFonts w:ascii="Arial" w:cs="Arial" w:eastAsia="Arial" w:hAnsi="Arial"/>
          <w:sz w:val="15"/>
          <w:szCs w:val="15"/>
          <w:color w:val="auto"/>
        </w:rPr>
        <w:t xml:space="preserve"> Each of the nominees has consented to serve as a director if elected. The Board knows of no reason why any nominee would be unavailable to serve, but, in the event of any such unavailability, the proxies received will be voted for any substitute nominees the Board recommends. Nassem Ziyad is not standing for re-election at the Annual Meeting. The Board would like to recognize Mr. Ziyad for his service and contributions as a member of the Board.</w:t>
      </w:r>
    </w:p>
    <w:p>
      <w:pPr>
        <w:spacing w:after="0" w:line="260"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How We Select Directors</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Nominating and Corporate Governance Committee (“NCGC”) periodically reviews the overall composition of the Board and recommends, if necessary, measures to help ensure the Board reflects an appropriate balance of knowledge, experience, skills and expertise. This process unfolds in two phases: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95250</wp:posOffset>
            </wp:positionV>
            <wp:extent cx="5939155" cy="27571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39155" cy="2757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300" w:hanging="299"/>
        <w:spacing w:after="0" w:line="272" w:lineRule="auto"/>
        <w:tabs>
          <w:tab w:leader="none" w:pos="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anticipate that there will be changes to the composition of our Board of Directors following completion of the pending spin-off the Company’s Food Processing business into an independent publicly traded company, which is currently anticipated to occur after the Annual Meeting. Any such changes to our Board of Directors will be disclosed in future SEC filings.</w:t>
      </w:r>
    </w:p>
    <w:p>
      <w:pPr>
        <w:spacing w:after="0" w:line="28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7" w:name="page18"/>
    <w:bookmarkEnd w:id="17"/>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5"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Director Nominees</w:t>
      </w:r>
    </w:p>
    <w:p>
      <w:pPr>
        <w:spacing w:after="0" w:line="233"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265E7C"/>
        </w:rPr>
        <w:t>Julie M. Bowerman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7141210" cy="1418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1210" cy="1418590"/>
                    </a:xfrm>
                    <a:prstGeom prst="rect">
                      <a:avLst/>
                    </a:prstGeom>
                    <a:noFill/>
                  </pic:spPr>
                </pic:pic>
              </a:graphicData>
            </a:graphic>
          </wp:anchor>
        </w:drawing>
      </w: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540" w:type="dxa"/>
            <w:vAlign w:val="bottom"/>
          </w:tcPr>
          <w:p>
            <w:pPr>
              <w:spacing w:after="0"/>
              <w:rPr>
                <w:sz w:val="20"/>
                <w:szCs w:val="20"/>
                <w:color w:val="auto"/>
              </w:rPr>
            </w:pPr>
            <w:r>
              <w:rPr>
                <w:rFonts w:ascii="Arial" w:cs="Arial" w:eastAsia="Arial" w:hAnsi="Arial"/>
                <w:sz w:val="15"/>
                <w:szCs w:val="15"/>
                <w:b w:val="1"/>
                <w:bCs w:val="1"/>
                <w:color w:val="00304D"/>
              </w:rPr>
              <w:t>Age: 57</w:t>
            </w:r>
          </w:p>
        </w:tc>
        <w:tc>
          <w:tcPr>
            <w:tcW w:w="9540" w:type="dxa"/>
            <w:vAlign w:val="bottom"/>
          </w:tcPr>
          <w:p>
            <w:pPr>
              <w:ind w:left="460"/>
              <w:spacing w:after="0"/>
              <w:rPr>
                <w:sz w:val="20"/>
                <w:szCs w:val="20"/>
                <w:color w:val="auto"/>
              </w:rPr>
            </w:pPr>
            <w:r>
              <w:rPr>
                <w:rFonts w:ascii="Arial" w:cs="Arial" w:eastAsia="Arial" w:hAnsi="Arial"/>
                <w:sz w:val="15"/>
                <w:szCs w:val="15"/>
                <w:b w:val="1"/>
                <w:bCs w:val="1"/>
                <w:color w:val="00304D"/>
              </w:rPr>
              <w:t>Professional background</w:t>
            </w:r>
          </w:p>
        </w:tc>
        <w:tc>
          <w:tcPr>
            <w:tcW w:w="0" w:type="dxa"/>
            <w:vAlign w:val="bottom"/>
          </w:tcPr>
          <w:p>
            <w:pPr>
              <w:spacing w:after="0"/>
              <w:rPr>
                <w:sz w:val="1"/>
                <w:szCs w:val="1"/>
                <w:color w:val="auto"/>
              </w:rPr>
            </w:pPr>
          </w:p>
        </w:tc>
      </w:tr>
      <w:tr>
        <w:trPr>
          <w:trHeight w:val="209"/>
        </w:trPr>
        <w:tc>
          <w:tcPr>
            <w:tcW w:w="1540" w:type="dxa"/>
            <w:vAlign w:val="bottom"/>
          </w:tcPr>
          <w:p>
            <w:pPr>
              <w:spacing w:after="0"/>
              <w:rPr>
                <w:sz w:val="20"/>
                <w:szCs w:val="20"/>
                <w:color w:val="auto"/>
              </w:rPr>
            </w:pPr>
            <w:r>
              <w:rPr>
                <w:rFonts w:ascii="Arial" w:cs="Arial" w:eastAsia="Arial" w:hAnsi="Arial"/>
                <w:sz w:val="15"/>
                <w:szCs w:val="15"/>
                <w:b w:val="1"/>
                <w:bCs w:val="1"/>
                <w:color w:val="00304D"/>
              </w:rPr>
              <w:t>Director</w:t>
            </w:r>
          </w:p>
        </w:tc>
        <w:tc>
          <w:tcPr>
            <w:tcW w:w="9540" w:type="dxa"/>
            <w:vAlign w:val="bottom"/>
          </w:tcPr>
          <w:p>
            <w:pPr>
              <w:ind w:left="460"/>
              <w:spacing w:after="0"/>
              <w:rPr>
                <w:sz w:val="20"/>
                <w:szCs w:val="20"/>
                <w:color w:val="auto"/>
              </w:rPr>
            </w:pPr>
            <w:r>
              <w:rPr>
                <w:rFonts w:ascii="Arial" w:cs="Arial" w:eastAsia="Arial" w:hAnsi="Arial"/>
                <w:sz w:val="15"/>
                <w:szCs w:val="15"/>
                <w:color w:val="auto"/>
              </w:rPr>
              <w:t>Ms. Bowerman most recently served as Chief Marketing Officer, North America, for Kellanova, where she led the company’s overall</w:t>
            </w:r>
          </w:p>
        </w:tc>
        <w:tc>
          <w:tcPr>
            <w:tcW w:w="0" w:type="dxa"/>
            <w:vAlign w:val="bottom"/>
          </w:tcPr>
          <w:p>
            <w:pPr>
              <w:spacing w:after="0"/>
              <w:rPr>
                <w:sz w:val="1"/>
                <w:szCs w:val="1"/>
                <w:color w:val="auto"/>
              </w:rPr>
            </w:pPr>
          </w:p>
        </w:tc>
      </w:tr>
      <w:tr>
        <w:trPr>
          <w:trHeight w:val="177"/>
        </w:trPr>
        <w:tc>
          <w:tcPr>
            <w:tcW w:w="1540" w:type="dxa"/>
            <w:vAlign w:val="bottom"/>
          </w:tcPr>
          <w:p>
            <w:pPr>
              <w:spacing w:after="0"/>
              <w:rPr>
                <w:sz w:val="20"/>
                <w:szCs w:val="20"/>
                <w:color w:val="auto"/>
              </w:rPr>
            </w:pPr>
            <w:r>
              <w:rPr>
                <w:rFonts w:ascii="Arial" w:cs="Arial" w:eastAsia="Arial" w:hAnsi="Arial"/>
                <w:sz w:val="15"/>
                <w:szCs w:val="15"/>
                <w:b w:val="1"/>
                <w:bCs w:val="1"/>
                <w:color w:val="00304D"/>
              </w:rPr>
              <w:t xml:space="preserve">since: </w:t>
            </w:r>
            <w:r>
              <w:rPr>
                <w:rFonts w:ascii="Arial" w:cs="Arial" w:eastAsia="Arial" w:hAnsi="Arial"/>
                <w:sz w:val="15"/>
                <w:szCs w:val="15"/>
                <w:b w:val="1"/>
                <w:bCs w:val="1"/>
                <w:color w:val="265E7C"/>
              </w:rPr>
              <w:t>2025</w:t>
            </w:r>
          </w:p>
        </w:tc>
        <w:tc>
          <w:tcPr>
            <w:tcW w:w="9540" w:type="dxa"/>
            <w:vAlign w:val="bottom"/>
          </w:tcPr>
          <w:p>
            <w:pPr>
              <w:ind w:left="460"/>
              <w:spacing w:after="0"/>
              <w:rPr>
                <w:sz w:val="20"/>
                <w:szCs w:val="20"/>
                <w:color w:val="auto"/>
              </w:rPr>
            </w:pPr>
            <w:r>
              <w:rPr>
                <w:rFonts w:ascii="Arial" w:cs="Arial" w:eastAsia="Arial" w:hAnsi="Arial"/>
                <w:sz w:val="15"/>
                <w:szCs w:val="15"/>
                <w:color w:val="auto"/>
              </w:rPr>
              <w:t>marketing organization and guided the marketing and omni commercial transformation associated with the company’s separation from</w:t>
            </w:r>
          </w:p>
        </w:tc>
        <w:tc>
          <w:tcPr>
            <w:tcW w:w="0" w:type="dxa"/>
            <w:vAlign w:val="bottom"/>
          </w:tcPr>
          <w:p>
            <w:pPr>
              <w:spacing w:after="0"/>
              <w:rPr>
                <w:sz w:val="1"/>
                <w:szCs w:val="1"/>
                <w:color w:val="auto"/>
              </w:rPr>
            </w:pPr>
          </w:p>
        </w:tc>
      </w:tr>
      <w:tr>
        <w:trPr>
          <w:trHeight w:val="199"/>
        </w:trPr>
        <w:tc>
          <w:tcPr>
            <w:tcW w:w="1540" w:type="dxa"/>
            <w:vAlign w:val="bottom"/>
            <w:vMerge w:val="restart"/>
          </w:tcPr>
          <w:p>
            <w:pPr>
              <w:spacing w:after="0"/>
              <w:rPr>
                <w:sz w:val="20"/>
                <w:szCs w:val="20"/>
                <w:color w:val="auto"/>
              </w:rPr>
            </w:pPr>
            <w:r>
              <w:rPr>
                <w:rFonts w:ascii="Arial" w:cs="Arial" w:eastAsia="Arial" w:hAnsi="Arial"/>
                <w:sz w:val="15"/>
                <w:szCs w:val="15"/>
                <w:b w:val="1"/>
                <w:bCs w:val="1"/>
                <w:i w:val="1"/>
                <w:iCs w:val="1"/>
                <w:color w:val="265E7C"/>
              </w:rPr>
              <w:t>INDEPENDENT</w:t>
            </w:r>
          </w:p>
        </w:tc>
        <w:tc>
          <w:tcPr>
            <w:tcW w:w="9540" w:type="dxa"/>
            <w:vAlign w:val="bottom"/>
          </w:tcPr>
          <w:p>
            <w:pPr>
              <w:ind w:left="460"/>
              <w:spacing w:after="0"/>
              <w:rPr>
                <w:sz w:val="20"/>
                <w:szCs w:val="20"/>
                <w:color w:val="auto"/>
              </w:rPr>
            </w:pPr>
            <w:r>
              <w:rPr>
                <w:rFonts w:ascii="Arial" w:cs="Arial" w:eastAsia="Arial" w:hAnsi="Arial"/>
                <w:sz w:val="15"/>
                <w:szCs w:val="15"/>
                <w:color w:val="auto"/>
              </w:rPr>
              <w:t>the Kellogg Company.</w:t>
            </w:r>
          </w:p>
        </w:tc>
        <w:tc>
          <w:tcPr>
            <w:tcW w:w="0" w:type="dxa"/>
            <w:vAlign w:val="bottom"/>
          </w:tcPr>
          <w:p>
            <w:pPr>
              <w:spacing w:after="0"/>
              <w:rPr>
                <w:sz w:val="1"/>
                <w:szCs w:val="1"/>
                <w:color w:val="auto"/>
              </w:rPr>
            </w:pPr>
          </w:p>
        </w:tc>
      </w:tr>
      <w:tr>
        <w:trPr>
          <w:trHeight w:val="122"/>
        </w:trPr>
        <w:tc>
          <w:tcPr>
            <w:tcW w:w="1540" w:type="dxa"/>
            <w:vAlign w:val="bottom"/>
            <w:vMerge w:val="continue"/>
          </w:tcPr>
          <w:p>
            <w:pPr>
              <w:spacing w:after="0"/>
              <w:rPr>
                <w:sz w:val="10"/>
                <w:szCs w:val="10"/>
                <w:color w:val="auto"/>
              </w:rPr>
            </w:pPr>
          </w:p>
        </w:tc>
        <w:tc>
          <w:tcPr>
            <w:tcW w:w="9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1">
            <w:col w:w="11240"/>
          </w:cols>
          <w:pgMar w:left="320" w:top="231" w:right="339" w:bottom="1440" w:gutter="0" w:footer="0" w:header="0"/>
        </w:sectPr>
      </w:pPr>
    </w:p>
    <w:p>
      <w:pPr>
        <w:spacing w:after="0" w:line="25"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0304D"/>
        </w:rPr>
        <w:t>Committees:</w:t>
      </w:r>
    </w:p>
    <w:p>
      <w:pPr>
        <w:spacing w:after="0" w:line="18" w:lineRule="exact"/>
        <w:rPr>
          <w:sz w:val="20"/>
          <w:szCs w:val="20"/>
          <w:color w:val="auto"/>
        </w:rPr>
      </w:pPr>
    </w:p>
    <w:p>
      <w:pPr>
        <w:ind w:left="260" w:hanging="175"/>
        <w:spacing w:after="0" w:line="260" w:lineRule="auto"/>
        <w:tabs>
          <w:tab w:leader="none" w:pos="260" w:val="left"/>
        </w:tabs>
        <w:numPr>
          <w:ilvl w:val="0"/>
          <w:numId w:val="5"/>
        </w:numPr>
        <w:rPr>
          <w:rFonts w:ascii="Arial" w:cs="Arial" w:eastAsia="Arial" w:hAnsi="Arial"/>
          <w:sz w:val="15"/>
          <w:szCs w:val="15"/>
          <w:color w:val="265E7C"/>
        </w:rPr>
      </w:pPr>
      <w:r>
        <w:rPr>
          <w:rFonts w:ascii="Arial" w:cs="Arial" w:eastAsia="Arial" w:hAnsi="Arial"/>
          <w:sz w:val="15"/>
          <w:szCs w:val="15"/>
          <w:color w:val="00304D"/>
        </w:rPr>
        <w:t>Nominating and Corporate Governance</w:t>
      </w:r>
    </w:p>
    <w:p>
      <w:pPr>
        <w:ind w:left="260" w:hanging="175"/>
        <w:spacing w:after="0"/>
        <w:tabs>
          <w:tab w:leader="none" w:pos="260" w:val="left"/>
        </w:tabs>
        <w:numPr>
          <w:ilvl w:val="0"/>
          <w:numId w:val="5"/>
        </w:numPr>
        <w:rPr>
          <w:rFonts w:ascii="Arial" w:cs="Arial" w:eastAsia="Arial" w:hAnsi="Arial"/>
          <w:sz w:val="15"/>
          <w:szCs w:val="15"/>
          <w:color w:val="265E7C"/>
        </w:rPr>
      </w:pPr>
      <w:r>
        <w:rPr>
          <w:rFonts w:ascii="Arial" w:cs="Arial" w:eastAsia="Arial" w:hAnsi="Arial"/>
          <w:sz w:val="15"/>
          <w:szCs w:val="15"/>
          <w:color w:val="00304D"/>
        </w:rPr>
        <w:t>Compensation*</w:t>
      </w:r>
    </w:p>
    <w:p>
      <w:pPr>
        <w:spacing w:after="0" w:line="20" w:lineRule="exact"/>
        <w:rPr>
          <w:sz w:val="20"/>
          <w:szCs w:val="20"/>
          <w:color w:val="auto"/>
        </w:rPr>
      </w:pPr>
      <w:r>
        <w:rPr>
          <w:sz w:val="20"/>
          <w:szCs w:val="20"/>
          <w:color w:val="auto"/>
        </w:rPr>
        <w:br w:type="column"/>
      </w:r>
    </w:p>
    <w:p>
      <w:pPr>
        <w:jc w:val="both"/>
        <w:ind w:right="80"/>
        <w:spacing w:after="0" w:line="282" w:lineRule="auto"/>
        <w:rPr>
          <w:sz w:val="20"/>
          <w:szCs w:val="20"/>
          <w:color w:val="auto"/>
        </w:rPr>
      </w:pPr>
      <w:r>
        <w:rPr>
          <w:rFonts w:ascii="Arial" w:cs="Arial" w:eastAsia="Arial" w:hAnsi="Arial"/>
          <w:sz w:val="15"/>
          <w:szCs w:val="15"/>
          <w:color w:val="auto"/>
        </w:rPr>
        <w:t>Before that, she served as Chief Global Digital Consumer and Customer Experience Officer for the Kellogg Company, where she oversaw global digital strategy, ecommerce initiatives, and the development of new digital platforms.</w:t>
      </w:r>
    </w:p>
    <w:p>
      <w:pPr>
        <w:spacing w:after="0" w:line="125" w:lineRule="exact"/>
        <w:rPr>
          <w:sz w:val="20"/>
          <w:szCs w:val="20"/>
          <w:color w:val="auto"/>
        </w:rPr>
      </w:pPr>
    </w:p>
    <w:p>
      <w:pPr>
        <w:jc w:val="both"/>
        <w:ind w:right="80"/>
        <w:spacing w:after="0" w:line="258" w:lineRule="auto"/>
        <w:rPr>
          <w:sz w:val="20"/>
          <w:szCs w:val="20"/>
          <w:color w:val="auto"/>
        </w:rPr>
      </w:pPr>
      <w:r>
        <w:rPr>
          <w:rFonts w:ascii="Arial" w:cs="Arial" w:eastAsia="Arial" w:hAnsi="Arial"/>
          <w:sz w:val="15"/>
          <w:szCs w:val="15"/>
          <w:color w:val="auto"/>
        </w:rPr>
        <w:t>Earlier in her career, Ms. Bowerman spent 20+ years at The Coca Cola Company in senior roles spanning brand marketing, shopper marketing, digital transformation, and ecommerce. Her leadership included guiding global omni shopper marketing, developing Coca Cola North America’s first ecommerce operating model, and leading the company’s digital marketing transformation and key consumer engagement platforms. She began her career holding marketing and media roles at Coca Cola Enterprises and J. Walter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-1319530</wp:posOffset>
            </wp:positionH>
            <wp:positionV relativeFrom="paragraph">
              <wp:posOffset>1905</wp:posOffset>
            </wp:positionV>
            <wp:extent cx="714121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1800" w:space="280"/>
            <w:col w:w="9160"/>
          </w:cols>
          <w:pgMar w:left="320" w:top="231" w:right="339" w:bottom="1440" w:gutter="0" w:footer="0" w:header="0"/>
          <w:type w:val="continuous"/>
        </w:sectPr>
      </w:pPr>
    </w:p>
    <w:p>
      <w:pPr>
        <w:ind w:left="80"/>
        <w:spacing w:after="0"/>
        <w:rPr>
          <w:sz w:val="20"/>
          <w:szCs w:val="20"/>
          <w:color w:val="auto"/>
        </w:rPr>
      </w:pPr>
      <w:r>
        <w:rPr>
          <w:rFonts w:ascii="Arial" w:cs="Arial" w:eastAsia="Arial" w:hAnsi="Arial"/>
          <w:sz w:val="15"/>
          <w:szCs w:val="15"/>
          <w:b w:val="1"/>
          <w:bCs w:val="1"/>
          <w:color w:val="00304D"/>
        </w:rPr>
        <w:t>Service on other public boards</w:t>
      </w:r>
    </w:p>
    <w:p>
      <w:pPr>
        <w:spacing w:after="0" w:line="18" w:lineRule="exact"/>
        <w:rPr>
          <w:sz w:val="20"/>
          <w:szCs w:val="20"/>
          <w:color w:val="auto"/>
        </w:rPr>
      </w:pPr>
    </w:p>
    <w:p>
      <w:pPr>
        <w:ind w:left="260" w:hanging="175"/>
        <w:spacing w:after="0"/>
        <w:tabs>
          <w:tab w:leader="none" w:pos="260" w:val="left"/>
        </w:tabs>
        <w:numPr>
          <w:ilvl w:val="0"/>
          <w:numId w:val="6"/>
        </w:numPr>
        <w:rPr>
          <w:rFonts w:ascii="Arial" w:cs="Arial" w:eastAsia="Arial" w:hAnsi="Arial"/>
          <w:sz w:val="15"/>
          <w:szCs w:val="15"/>
          <w:color w:val="265E7C"/>
        </w:rPr>
      </w:pPr>
      <w:r>
        <w:rPr>
          <w:rFonts w:ascii="Arial" w:cs="Arial" w:eastAsia="Arial" w:hAnsi="Arial"/>
          <w:sz w:val="15"/>
          <w:szCs w:val="15"/>
          <w:color w:val="00304D"/>
        </w:rPr>
        <w:t>Brixmor Property Group Inc. (since 2019)</w:t>
      </w:r>
    </w:p>
    <w:p>
      <w:pPr>
        <w:spacing w:after="0" w:line="16" w:lineRule="exact"/>
        <w:rPr>
          <w:rFonts w:ascii="Arial" w:cs="Arial" w:eastAsia="Arial" w:hAnsi="Arial"/>
          <w:sz w:val="15"/>
          <w:szCs w:val="15"/>
          <w:color w:val="265E7C"/>
        </w:rPr>
      </w:pPr>
    </w:p>
    <w:p>
      <w:pPr>
        <w:ind w:left="260"/>
        <w:spacing w:after="0"/>
        <w:rPr>
          <w:rFonts w:ascii="Arial" w:cs="Arial" w:eastAsia="Arial" w:hAnsi="Arial"/>
          <w:sz w:val="15"/>
          <w:szCs w:val="15"/>
          <w:color w:val="265E7C"/>
        </w:rPr>
      </w:pPr>
      <w:r>
        <w:rPr>
          <w:rFonts w:ascii="Arial" w:cs="Arial" w:eastAsia="Arial" w:hAnsi="Arial"/>
          <w:sz w:val="15"/>
          <w:szCs w:val="15"/>
          <w:color w:val="00304D"/>
        </w:rPr>
        <w:t>(nominating and corporate governance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121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3"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0304D"/>
        </w:rPr>
        <w:t>Relevant skills</w:t>
      </w:r>
    </w:p>
    <w:p>
      <w:pPr>
        <w:spacing w:after="0" w:line="18" w:lineRule="exact"/>
        <w:rPr>
          <w:sz w:val="20"/>
          <w:szCs w:val="20"/>
          <w:color w:val="auto"/>
        </w:rPr>
      </w:pPr>
    </w:p>
    <w:p>
      <w:pPr>
        <w:jc w:val="both"/>
        <w:ind w:left="80" w:right="80"/>
        <w:spacing w:after="0" w:line="254" w:lineRule="auto"/>
        <w:rPr>
          <w:sz w:val="20"/>
          <w:szCs w:val="20"/>
          <w:color w:val="auto"/>
        </w:rPr>
      </w:pPr>
      <w:r>
        <w:rPr>
          <w:rFonts w:ascii="Arial" w:cs="Arial" w:eastAsia="Arial" w:hAnsi="Arial"/>
          <w:sz w:val="15"/>
          <w:szCs w:val="15"/>
          <w:color w:val="auto"/>
        </w:rPr>
        <w:t>Ms. Bowerman’s development and implementation of revenue growth and profit generation via physical and digital commerce, marketing, and go to market strategies as well as her experience and track record of driving value creation in consumer products businesses provides an important perspective to the Board’s oversight of the development and execution of the Company’s strategic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7141210"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54" w:lineRule="exact"/>
        <w:rPr>
          <w:sz w:val="20"/>
          <w:szCs w:val="20"/>
          <w:color w:val="auto"/>
        </w:rPr>
      </w:pPr>
    </w:p>
    <w:p>
      <w:pPr>
        <w:spacing w:after="0"/>
        <w:tabs>
          <w:tab w:leader="none" w:pos="140" w:val="left"/>
        </w:tabs>
        <w:rPr>
          <w:sz w:val="20"/>
          <w:szCs w:val="20"/>
          <w:color w:val="auto"/>
        </w:rPr>
      </w:pPr>
      <w:r>
        <w:rPr>
          <w:rFonts w:ascii="Arial" w:cs="Arial" w:eastAsia="Arial" w:hAnsi="Arial"/>
          <w:sz w:val="13"/>
          <w:szCs w:val="13"/>
          <w:color w:val="auto"/>
        </w:rPr>
        <w:t>*</w:t>
        <w:tab/>
        <w:t>Effective March 9, 2026</w:t>
      </w:r>
    </w:p>
    <w:p>
      <w:pPr>
        <w:spacing w:after="0" w:line="16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00304D"/>
        </w:rPr>
        <w:t>Sarah Palisi Chapin</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00" w:type="dxa"/>
            <w:vAlign w:val="bottom"/>
            <w:tcBorders>
              <w:top w:val="single" w:sz="8" w:color="002F4D"/>
            </w:tcBorders>
            <w:shd w:val="clear" w:color="auto" w:fill="E5ECF1"/>
          </w:tcPr>
          <w:p>
            <w:pPr>
              <w:ind w:left="80"/>
              <w:spacing w:after="0"/>
              <w:rPr>
                <w:sz w:val="20"/>
                <w:szCs w:val="20"/>
                <w:color w:val="auto"/>
              </w:rPr>
            </w:pPr>
            <w:r>
              <w:rPr>
                <w:rFonts w:ascii="Arial" w:cs="Arial" w:eastAsia="Arial" w:hAnsi="Arial"/>
                <w:sz w:val="15"/>
                <w:szCs w:val="15"/>
                <w:b w:val="1"/>
                <w:bCs w:val="1"/>
                <w:color w:val="00304D"/>
              </w:rPr>
              <w:t>Age: 64</w:t>
            </w:r>
          </w:p>
        </w:tc>
        <w:tc>
          <w:tcPr>
            <w:tcW w:w="9240" w:type="dxa"/>
            <w:vAlign w:val="bottom"/>
            <w:tcBorders>
              <w:top w:val="single" w:sz="8" w:color="002F4D"/>
            </w:tcBorders>
          </w:tcPr>
          <w:p>
            <w:pPr>
              <w:ind w:left="80"/>
              <w:spacing w:after="0"/>
              <w:rPr>
                <w:sz w:val="20"/>
                <w:szCs w:val="20"/>
                <w:color w:val="auto"/>
              </w:rPr>
            </w:pPr>
            <w:r>
              <w:rPr>
                <w:rFonts w:ascii="Arial" w:cs="Arial" w:eastAsia="Arial" w:hAnsi="Arial"/>
                <w:sz w:val="15"/>
                <w:szCs w:val="15"/>
                <w:b w:val="1"/>
                <w:bCs w:val="1"/>
                <w:color w:val="00304D"/>
              </w:rPr>
              <w:t>Professional background</w:t>
            </w:r>
          </w:p>
        </w:tc>
        <w:tc>
          <w:tcPr>
            <w:tcW w:w="0" w:type="dxa"/>
            <w:vAlign w:val="bottom"/>
          </w:tcPr>
          <w:p>
            <w:pPr>
              <w:spacing w:after="0"/>
              <w:rPr>
                <w:sz w:val="1"/>
                <w:szCs w:val="1"/>
                <w:color w:val="auto"/>
              </w:rPr>
            </w:pPr>
          </w:p>
        </w:tc>
      </w:tr>
      <w:tr>
        <w:trPr>
          <w:trHeight w:val="209"/>
        </w:trPr>
        <w:tc>
          <w:tcPr>
            <w:tcW w:w="2000" w:type="dxa"/>
            <w:vAlign w:val="bottom"/>
            <w:shd w:val="clear" w:color="auto" w:fill="E5ECF1"/>
          </w:tcPr>
          <w:p>
            <w:pPr>
              <w:ind w:left="80"/>
              <w:spacing w:after="0"/>
              <w:rPr>
                <w:sz w:val="20"/>
                <w:szCs w:val="20"/>
                <w:color w:val="auto"/>
              </w:rPr>
            </w:pPr>
            <w:r>
              <w:rPr>
                <w:rFonts w:ascii="Arial" w:cs="Arial" w:eastAsia="Arial" w:hAnsi="Arial"/>
                <w:sz w:val="15"/>
                <w:szCs w:val="15"/>
                <w:b w:val="1"/>
                <w:bCs w:val="1"/>
                <w:color w:val="00304D"/>
              </w:rPr>
              <w:t>Director</w:t>
            </w:r>
          </w:p>
        </w:tc>
        <w:tc>
          <w:tcPr>
            <w:tcW w:w="9240" w:type="dxa"/>
            <w:vAlign w:val="bottom"/>
          </w:tcPr>
          <w:p>
            <w:pPr>
              <w:ind w:left="80"/>
              <w:spacing w:after="0"/>
              <w:rPr>
                <w:sz w:val="20"/>
                <w:szCs w:val="20"/>
                <w:color w:val="auto"/>
              </w:rPr>
            </w:pPr>
            <w:r>
              <w:rPr>
                <w:rFonts w:ascii="Arial" w:cs="Arial" w:eastAsia="Arial" w:hAnsi="Arial"/>
                <w:sz w:val="15"/>
                <w:szCs w:val="15"/>
                <w:color w:val="auto"/>
              </w:rPr>
              <w:t>Ms. Chapin has been Principal of Chapin Creative, LLC, a business incubation, strategy, and marketing advisory firm, since 2016. Ms.</w:t>
            </w:r>
          </w:p>
        </w:tc>
        <w:tc>
          <w:tcPr>
            <w:tcW w:w="0" w:type="dxa"/>
            <w:vAlign w:val="bottom"/>
          </w:tcPr>
          <w:p>
            <w:pPr>
              <w:spacing w:after="0"/>
              <w:rPr>
                <w:sz w:val="1"/>
                <w:szCs w:val="1"/>
                <w:color w:val="auto"/>
              </w:rPr>
            </w:pPr>
          </w:p>
        </w:tc>
      </w:tr>
      <w:tr>
        <w:trPr>
          <w:trHeight w:val="177"/>
        </w:trPr>
        <w:tc>
          <w:tcPr>
            <w:tcW w:w="2000" w:type="dxa"/>
            <w:vAlign w:val="bottom"/>
            <w:shd w:val="clear" w:color="auto" w:fill="E5ECF1"/>
          </w:tcPr>
          <w:p>
            <w:pPr>
              <w:ind w:left="80"/>
              <w:spacing w:after="0"/>
              <w:rPr>
                <w:sz w:val="20"/>
                <w:szCs w:val="20"/>
                <w:color w:val="auto"/>
              </w:rPr>
            </w:pPr>
            <w:r>
              <w:rPr>
                <w:rFonts w:ascii="Arial" w:cs="Arial" w:eastAsia="Arial" w:hAnsi="Arial"/>
                <w:sz w:val="15"/>
                <w:szCs w:val="15"/>
                <w:b w:val="1"/>
                <w:bCs w:val="1"/>
                <w:color w:val="00304D"/>
              </w:rPr>
              <w:t xml:space="preserve">since: </w:t>
            </w:r>
            <w:r>
              <w:rPr>
                <w:rFonts w:ascii="Arial" w:cs="Arial" w:eastAsia="Arial" w:hAnsi="Arial"/>
                <w:sz w:val="15"/>
                <w:szCs w:val="15"/>
                <w:b w:val="1"/>
                <w:bCs w:val="1"/>
                <w:color w:val="265E7C"/>
              </w:rPr>
              <w:t>2013</w:t>
            </w:r>
          </w:p>
        </w:tc>
        <w:tc>
          <w:tcPr>
            <w:tcW w:w="9240" w:type="dxa"/>
            <w:vAlign w:val="bottom"/>
          </w:tcPr>
          <w:p>
            <w:pPr>
              <w:ind w:left="80"/>
              <w:spacing w:after="0"/>
              <w:rPr>
                <w:sz w:val="20"/>
                <w:szCs w:val="20"/>
                <w:color w:val="auto"/>
              </w:rPr>
            </w:pPr>
            <w:r>
              <w:rPr>
                <w:rFonts w:ascii="Arial" w:cs="Arial" w:eastAsia="Arial" w:hAnsi="Arial"/>
                <w:sz w:val="15"/>
                <w:szCs w:val="15"/>
                <w:color w:val="auto"/>
              </w:rPr>
              <w:t>Chapin has served as an advisor to Michael Graves Design Group, Inc., since 2025. For seven years before founding Chapin Creative,</w:t>
            </w:r>
          </w:p>
        </w:tc>
        <w:tc>
          <w:tcPr>
            <w:tcW w:w="0" w:type="dxa"/>
            <w:vAlign w:val="bottom"/>
          </w:tcPr>
          <w:p>
            <w:pPr>
              <w:spacing w:after="0"/>
              <w:rPr>
                <w:sz w:val="1"/>
                <w:szCs w:val="1"/>
                <w:color w:val="auto"/>
              </w:rPr>
            </w:pPr>
          </w:p>
        </w:tc>
      </w:tr>
      <w:tr>
        <w:trPr>
          <w:trHeight w:val="164"/>
        </w:trPr>
        <w:tc>
          <w:tcPr>
            <w:tcW w:w="2000" w:type="dxa"/>
            <w:vAlign w:val="bottom"/>
            <w:vMerge w:val="restart"/>
            <w:shd w:val="clear" w:color="auto" w:fill="E5ECF1"/>
          </w:tcPr>
          <w:p>
            <w:pPr>
              <w:ind w:left="80"/>
              <w:spacing w:after="0"/>
              <w:rPr>
                <w:sz w:val="20"/>
                <w:szCs w:val="20"/>
                <w:color w:val="auto"/>
              </w:rPr>
            </w:pPr>
            <w:r>
              <w:rPr>
                <w:rFonts w:ascii="Arial" w:cs="Arial" w:eastAsia="Arial" w:hAnsi="Arial"/>
                <w:sz w:val="15"/>
                <w:szCs w:val="15"/>
                <w:b w:val="1"/>
                <w:bCs w:val="1"/>
                <w:i w:val="1"/>
                <w:iCs w:val="1"/>
                <w:color w:val="265E7C"/>
              </w:rPr>
              <w:t>INDEPENDENT</w:t>
            </w:r>
          </w:p>
        </w:tc>
        <w:tc>
          <w:tcPr>
            <w:tcW w:w="9240" w:type="dxa"/>
            <w:vAlign w:val="bottom"/>
          </w:tcPr>
          <w:p>
            <w:pPr>
              <w:ind w:left="80"/>
              <w:spacing w:after="0" w:line="164" w:lineRule="exact"/>
              <w:rPr>
                <w:sz w:val="20"/>
                <w:szCs w:val="20"/>
                <w:color w:val="auto"/>
              </w:rPr>
            </w:pPr>
            <w:r>
              <w:rPr>
                <w:rFonts w:ascii="Arial" w:cs="Arial" w:eastAsia="Arial" w:hAnsi="Arial"/>
                <w:sz w:val="15"/>
                <w:szCs w:val="15"/>
                <w:color w:val="auto"/>
              </w:rPr>
              <w:t>she was Chief Executive Officer and a board member of Hail Merry, a marketer and manufacturer of gluten-free, vegan, refrigerated</w:t>
            </w:r>
          </w:p>
        </w:tc>
        <w:tc>
          <w:tcPr>
            <w:tcW w:w="0" w:type="dxa"/>
            <w:vAlign w:val="bottom"/>
          </w:tcPr>
          <w:p>
            <w:pPr>
              <w:spacing w:after="0"/>
              <w:rPr>
                <w:sz w:val="1"/>
                <w:szCs w:val="1"/>
                <w:color w:val="auto"/>
              </w:rPr>
            </w:pPr>
          </w:p>
        </w:tc>
      </w:tr>
      <w:tr>
        <w:trPr>
          <w:trHeight w:val="177"/>
        </w:trPr>
        <w:tc>
          <w:tcPr>
            <w:tcW w:w="2000" w:type="dxa"/>
            <w:vAlign w:val="bottom"/>
            <w:vMerge w:val="continue"/>
            <w:shd w:val="clear" w:color="auto" w:fill="E5ECF1"/>
          </w:tcPr>
          <w:p>
            <w:pPr>
              <w:spacing w:after="0"/>
              <w:rPr>
                <w:sz w:val="15"/>
                <w:szCs w:val="15"/>
                <w:color w:val="auto"/>
              </w:rPr>
            </w:pPr>
          </w:p>
        </w:tc>
        <w:tc>
          <w:tcPr>
            <w:tcW w:w="9240" w:type="dxa"/>
            <w:vAlign w:val="bottom"/>
          </w:tcPr>
          <w:p>
            <w:pPr>
              <w:ind w:left="80"/>
              <w:spacing w:after="0"/>
              <w:rPr>
                <w:sz w:val="20"/>
                <w:szCs w:val="20"/>
                <w:color w:val="auto"/>
              </w:rPr>
            </w:pPr>
            <w:r>
              <w:rPr>
                <w:rFonts w:ascii="Arial" w:cs="Arial" w:eastAsia="Arial" w:hAnsi="Arial"/>
                <w:sz w:val="15"/>
                <w:szCs w:val="15"/>
                <w:color w:val="auto"/>
              </w:rPr>
              <w:t>plant ingredient snacks. Earlier in her career, she was Chief Executive Officer, then Chairman, of Enersyst Development Center, an</w:t>
            </w:r>
          </w:p>
        </w:tc>
        <w:tc>
          <w:tcPr>
            <w:tcW w:w="0" w:type="dxa"/>
            <w:vAlign w:val="bottom"/>
          </w:tcPr>
          <w:p>
            <w:pPr>
              <w:spacing w:after="0"/>
              <w:rPr>
                <w:sz w:val="1"/>
                <w:szCs w:val="1"/>
                <w:color w:val="auto"/>
              </w:rPr>
            </w:pPr>
          </w:p>
        </w:tc>
      </w:tr>
      <w:tr>
        <w:trPr>
          <w:trHeight w:val="177"/>
        </w:trPr>
        <w:tc>
          <w:tcPr>
            <w:tcW w:w="2000" w:type="dxa"/>
            <w:vAlign w:val="bottom"/>
            <w:shd w:val="clear" w:color="auto" w:fill="E5ECF1"/>
          </w:tcPr>
          <w:p>
            <w:pPr>
              <w:ind w:left="80"/>
              <w:spacing w:after="0"/>
              <w:rPr>
                <w:sz w:val="20"/>
                <w:szCs w:val="20"/>
                <w:color w:val="auto"/>
              </w:rPr>
            </w:pPr>
            <w:r>
              <w:rPr>
                <w:rFonts w:ascii="Arial" w:cs="Arial" w:eastAsia="Arial" w:hAnsi="Arial"/>
                <w:sz w:val="15"/>
                <w:szCs w:val="15"/>
                <w:b w:val="1"/>
                <w:bCs w:val="1"/>
                <w:color w:val="00304D"/>
              </w:rPr>
              <w:t>Committees:</w:t>
            </w:r>
          </w:p>
        </w:tc>
        <w:tc>
          <w:tcPr>
            <w:tcW w:w="9240" w:type="dxa"/>
            <w:vAlign w:val="bottom"/>
          </w:tcPr>
          <w:p>
            <w:pPr>
              <w:ind w:left="80"/>
              <w:spacing w:after="0"/>
              <w:rPr>
                <w:sz w:val="20"/>
                <w:szCs w:val="20"/>
                <w:color w:val="auto"/>
              </w:rPr>
            </w:pPr>
            <w:r>
              <w:rPr>
                <w:rFonts w:ascii="Arial" w:cs="Arial" w:eastAsia="Arial" w:hAnsi="Arial"/>
                <w:sz w:val="15"/>
                <w:szCs w:val="15"/>
                <w:color w:val="auto"/>
              </w:rPr>
              <w:t>intellectual property development and licensing firm in food processing, vending, and foodservice, from 1995 to 2003. She served as</w:t>
            </w:r>
          </w:p>
        </w:tc>
        <w:tc>
          <w:tcPr>
            <w:tcW w:w="0" w:type="dxa"/>
            <w:vAlign w:val="bottom"/>
          </w:tcPr>
          <w:p>
            <w:pPr>
              <w:spacing w:after="0"/>
              <w:rPr>
                <w:sz w:val="1"/>
                <w:szCs w:val="1"/>
                <w:color w:val="auto"/>
              </w:rPr>
            </w:pPr>
          </w:p>
        </w:tc>
      </w:tr>
      <w:tr>
        <w:trPr>
          <w:trHeight w:val="189"/>
        </w:trPr>
        <w:tc>
          <w:tcPr>
            <w:tcW w:w="2000" w:type="dxa"/>
            <w:vAlign w:val="bottom"/>
            <w:shd w:val="clear" w:color="auto" w:fill="E5ECF1"/>
          </w:tcPr>
          <w:p>
            <w:pPr>
              <w:ind w:left="80"/>
              <w:spacing w:after="0"/>
              <w:rPr>
                <w:sz w:val="20"/>
                <w:szCs w:val="20"/>
                <w:color w:val="auto"/>
              </w:rPr>
            </w:pPr>
            <w:r>
              <w:rPr>
                <w:rFonts w:ascii="Arial" w:cs="Arial" w:eastAsia="Arial" w:hAnsi="Arial"/>
                <w:sz w:val="15"/>
                <w:szCs w:val="15"/>
                <w:color w:val="265E7C"/>
              </w:rPr>
              <w:t xml:space="preserve">•  </w:t>
            </w:r>
            <w:r>
              <w:rPr>
                <w:rFonts w:ascii="Arial" w:cs="Arial" w:eastAsia="Arial" w:hAnsi="Arial"/>
                <w:sz w:val="15"/>
                <w:szCs w:val="15"/>
                <w:color w:val="00304D"/>
              </w:rPr>
              <w:t>Nominating and</w:t>
            </w:r>
          </w:p>
        </w:tc>
        <w:tc>
          <w:tcPr>
            <w:tcW w:w="9240" w:type="dxa"/>
            <w:vAlign w:val="bottom"/>
          </w:tcPr>
          <w:p>
            <w:pPr>
              <w:ind w:left="80"/>
              <w:spacing w:after="0"/>
              <w:rPr>
                <w:sz w:val="20"/>
                <w:szCs w:val="20"/>
                <w:color w:val="auto"/>
              </w:rPr>
            </w:pPr>
            <w:r>
              <w:rPr>
                <w:rFonts w:ascii="Arial" w:cs="Arial" w:eastAsia="Arial" w:hAnsi="Arial"/>
                <w:sz w:val="15"/>
                <w:szCs w:val="15"/>
                <w:color w:val="auto"/>
              </w:rPr>
              <w:t>Vice President of Worldwide Business Strategy of Burger King Corporation from 1990 to 1995, including as co-leader for development</w:t>
            </w:r>
          </w:p>
        </w:tc>
        <w:tc>
          <w:tcPr>
            <w:tcW w:w="0" w:type="dxa"/>
            <w:vAlign w:val="bottom"/>
          </w:tcPr>
          <w:p>
            <w:pPr>
              <w:spacing w:after="0"/>
              <w:rPr>
                <w:sz w:val="1"/>
                <w:szCs w:val="1"/>
                <w:color w:val="auto"/>
              </w:rPr>
            </w:pPr>
          </w:p>
        </w:tc>
      </w:tr>
      <w:tr>
        <w:trPr>
          <w:trHeight w:val="177"/>
        </w:trPr>
        <w:tc>
          <w:tcPr>
            <w:tcW w:w="2000" w:type="dxa"/>
            <w:vAlign w:val="bottom"/>
            <w:shd w:val="clear" w:color="auto" w:fill="E5ECF1"/>
          </w:tcPr>
          <w:p>
            <w:pPr>
              <w:ind w:left="260"/>
              <w:spacing w:after="0"/>
              <w:rPr>
                <w:sz w:val="20"/>
                <w:szCs w:val="20"/>
                <w:color w:val="auto"/>
              </w:rPr>
            </w:pPr>
            <w:r>
              <w:rPr>
                <w:rFonts w:ascii="Arial" w:cs="Arial" w:eastAsia="Arial" w:hAnsi="Arial"/>
                <w:sz w:val="15"/>
                <w:szCs w:val="15"/>
                <w:color w:val="00304D"/>
              </w:rPr>
              <w:t>Corporate Governance</w:t>
            </w:r>
          </w:p>
        </w:tc>
        <w:tc>
          <w:tcPr>
            <w:tcW w:w="9240" w:type="dxa"/>
            <w:vAlign w:val="bottom"/>
          </w:tcPr>
          <w:p>
            <w:pPr>
              <w:ind w:left="80"/>
              <w:spacing w:after="0"/>
              <w:rPr>
                <w:sz w:val="20"/>
                <w:szCs w:val="20"/>
                <w:color w:val="auto"/>
              </w:rPr>
            </w:pPr>
            <w:r>
              <w:rPr>
                <w:rFonts w:ascii="Arial" w:cs="Arial" w:eastAsia="Arial" w:hAnsi="Arial"/>
                <w:sz w:val="15"/>
                <w:szCs w:val="15"/>
                <w:color w:val="auto"/>
              </w:rPr>
              <w:t>of Restaurant Services, Inc., Burger King’s purchasing coop. She began her career in food service as Director of New Concepts and</w:t>
            </w:r>
          </w:p>
        </w:tc>
        <w:tc>
          <w:tcPr>
            <w:tcW w:w="0" w:type="dxa"/>
            <w:vAlign w:val="bottom"/>
          </w:tcPr>
          <w:p>
            <w:pPr>
              <w:spacing w:after="0"/>
              <w:rPr>
                <w:sz w:val="1"/>
                <w:szCs w:val="1"/>
                <w:color w:val="auto"/>
              </w:rPr>
            </w:pPr>
          </w:p>
        </w:tc>
      </w:tr>
      <w:tr>
        <w:trPr>
          <w:trHeight w:val="232"/>
        </w:trPr>
        <w:tc>
          <w:tcPr>
            <w:tcW w:w="2000" w:type="dxa"/>
            <w:vAlign w:val="bottom"/>
            <w:tcBorders>
              <w:bottom w:val="single" w:sz="8" w:color="002F4D"/>
            </w:tcBorders>
            <w:shd w:val="clear" w:color="auto" w:fill="E5ECF1"/>
          </w:tcPr>
          <w:p>
            <w:pPr>
              <w:ind w:left="260"/>
              <w:spacing w:after="0"/>
              <w:rPr>
                <w:sz w:val="20"/>
                <w:szCs w:val="20"/>
                <w:color w:val="auto"/>
              </w:rPr>
            </w:pPr>
            <w:r>
              <w:rPr>
                <w:rFonts w:ascii="Arial" w:cs="Arial" w:eastAsia="Arial" w:hAnsi="Arial"/>
                <w:sz w:val="15"/>
                <w:szCs w:val="15"/>
                <w:color w:val="00304D"/>
              </w:rPr>
              <w:t>(chair)</w:t>
            </w:r>
          </w:p>
        </w:tc>
        <w:tc>
          <w:tcPr>
            <w:tcW w:w="9240" w:type="dxa"/>
            <w:vAlign w:val="bottom"/>
            <w:tcBorders>
              <w:bottom w:val="single" w:sz="8" w:color="002F4D"/>
            </w:tcBorders>
          </w:tcPr>
          <w:p>
            <w:pPr>
              <w:ind w:left="80"/>
              <w:spacing w:after="0"/>
              <w:rPr>
                <w:sz w:val="20"/>
                <w:szCs w:val="20"/>
                <w:color w:val="auto"/>
              </w:rPr>
            </w:pPr>
            <w:r>
              <w:rPr>
                <w:rFonts w:ascii="Arial" w:cs="Arial" w:eastAsia="Arial" w:hAnsi="Arial"/>
                <w:sz w:val="15"/>
                <w:szCs w:val="15"/>
                <w:color w:val="auto"/>
              </w:rPr>
              <w:t>Engineering for Pizza Hut from 1985 to 1990.</w:t>
            </w: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1">
            <w:col w:w="11240"/>
          </w:cols>
          <w:pgMar w:left="320" w:top="231" w:right="339" w:bottom="1440" w:gutter="0" w:footer="0" w:header="0"/>
          <w:type w:val="continuous"/>
        </w:sectPr>
      </w:pPr>
    </w:p>
    <w:p>
      <w:pPr>
        <w:ind w:left="80"/>
        <w:spacing w:after="0"/>
        <w:rPr>
          <w:sz w:val="20"/>
          <w:szCs w:val="20"/>
          <w:color w:val="auto"/>
        </w:rPr>
      </w:pPr>
      <w:r>
        <w:rPr>
          <w:rFonts w:ascii="Arial" w:cs="Arial" w:eastAsia="Arial" w:hAnsi="Arial"/>
          <w:sz w:val="15"/>
          <w:szCs w:val="15"/>
          <w:b w:val="1"/>
          <w:bCs w:val="1"/>
          <w:color w:val="00304D"/>
        </w:rPr>
        <w:t>Service on other public boards</w:t>
      </w:r>
    </w:p>
    <w:p>
      <w:pPr>
        <w:spacing w:after="0" w:line="18" w:lineRule="exact"/>
        <w:rPr>
          <w:sz w:val="20"/>
          <w:szCs w:val="20"/>
          <w:color w:val="auto"/>
        </w:rPr>
      </w:pPr>
    </w:p>
    <w:p>
      <w:pPr>
        <w:ind w:left="260" w:hanging="175"/>
        <w:spacing w:after="0"/>
        <w:tabs>
          <w:tab w:leader="none" w:pos="260" w:val="left"/>
        </w:tabs>
        <w:numPr>
          <w:ilvl w:val="0"/>
          <w:numId w:val="7"/>
        </w:numPr>
        <w:rPr>
          <w:rFonts w:ascii="Arial" w:cs="Arial" w:eastAsia="Arial" w:hAnsi="Arial"/>
          <w:sz w:val="15"/>
          <w:szCs w:val="15"/>
          <w:color w:val="265E7C"/>
        </w:rPr>
      </w:pPr>
      <w:r>
        <w:rPr>
          <w:rFonts w:ascii="Arial" w:cs="Arial" w:eastAsia="Arial" w:hAnsi="Arial"/>
          <w:sz w:val="15"/>
          <w:szCs w:val="15"/>
          <w:color w:val="00304D"/>
        </w:rPr>
        <w:t>Caribou Coffee Company (2007-2013)</w:t>
      </w:r>
    </w:p>
    <w:p>
      <w:pPr>
        <w:spacing w:after="0" w:line="16" w:lineRule="exact"/>
        <w:rPr>
          <w:rFonts w:ascii="Arial" w:cs="Arial" w:eastAsia="Arial" w:hAnsi="Arial"/>
          <w:sz w:val="15"/>
          <w:szCs w:val="15"/>
          <w:color w:val="265E7C"/>
        </w:rPr>
      </w:pPr>
    </w:p>
    <w:p>
      <w:pPr>
        <w:ind w:left="260"/>
        <w:spacing w:after="0" w:line="263" w:lineRule="auto"/>
        <w:rPr>
          <w:rFonts w:ascii="Arial" w:cs="Arial" w:eastAsia="Arial" w:hAnsi="Arial"/>
          <w:sz w:val="15"/>
          <w:szCs w:val="15"/>
          <w:color w:val="265E7C"/>
        </w:rPr>
      </w:pPr>
      <w:r>
        <w:rPr>
          <w:rFonts w:ascii="Arial" w:cs="Arial" w:eastAsia="Arial" w:hAnsi="Arial"/>
          <w:sz w:val="15"/>
          <w:szCs w:val="15"/>
          <w:color w:val="00304D"/>
        </w:rPr>
        <w:t>(compensation committee chair and nominating and corporate governance committee member)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00304D"/>
        </w:rPr>
        <w:t>Service on private boards</w:t>
      </w:r>
    </w:p>
    <w:p>
      <w:pPr>
        <w:spacing w:after="0" w:line="18" w:lineRule="exact"/>
        <w:rPr>
          <w:sz w:val="20"/>
          <w:szCs w:val="20"/>
          <w:color w:val="auto"/>
        </w:rPr>
      </w:pPr>
    </w:p>
    <w:p>
      <w:pPr>
        <w:ind w:left="180" w:right="560" w:hanging="174"/>
        <w:spacing w:after="0" w:line="260" w:lineRule="auto"/>
        <w:tabs>
          <w:tab w:leader="none" w:pos="180" w:val="left"/>
        </w:tabs>
        <w:numPr>
          <w:ilvl w:val="0"/>
          <w:numId w:val="8"/>
        </w:numPr>
        <w:rPr>
          <w:rFonts w:ascii="Arial" w:cs="Arial" w:eastAsia="Arial" w:hAnsi="Arial"/>
          <w:sz w:val="15"/>
          <w:szCs w:val="15"/>
          <w:color w:val="265E7C"/>
        </w:rPr>
      </w:pPr>
      <w:r>
        <w:rPr>
          <w:rFonts w:ascii="Arial" w:cs="Arial" w:eastAsia="Arial" w:hAnsi="Arial"/>
          <w:sz w:val="15"/>
          <w:szCs w:val="15"/>
          <w:color w:val="00304D"/>
        </w:rPr>
        <w:t>FlowTrans LLC, a liquid food grade tanker transportation and logistics business (since 2021)</w:t>
      </w:r>
    </w:p>
    <w:p>
      <w:pPr>
        <w:ind w:left="180" w:hanging="174"/>
        <w:spacing w:after="0"/>
        <w:tabs>
          <w:tab w:leader="none" w:pos="180" w:val="left"/>
        </w:tabs>
        <w:numPr>
          <w:ilvl w:val="0"/>
          <w:numId w:val="8"/>
        </w:numPr>
        <w:rPr>
          <w:rFonts w:ascii="Arial" w:cs="Arial" w:eastAsia="Arial" w:hAnsi="Arial"/>
          <w:sz w:val="15"/>
          <w:szCs w:val="15"/>
          <w:color w:val="265E7C"/>
        </w:rPr>
      </w:pPr>
      <w:r>
        <w:rPr>
          <w:rFonts w:ascii="Arial" w:cs="Arial" w:eastAsia="Arial" w:hAnsi="Arial"/>
          <w:sz w:val="15"/>
          <w:szCs w:val="15"/>
          <w:color w:val="00304D"/>
        </w:rPr>
        <w:t>Yummy Spoonfuls, an organic baby and toddler food company (2014-2018)</w:t>
      </w:r>
    </w:p>
    <w:p>
      <w:pPr>
        <w:spacing w:after="0" w:line="8" w:lineRule="exact"/>
        <w:rPr>
          <w:rFonts w:ascii="Arial" w:cs="Arial" w:eastAsia="Arial" w:hAnsi="Arial"/>
          <w:sz w:val="15"/>
          <w:szCs w:val="15"/>
          <w:color w:val="265E7C"/>
        </w:rPr>
      </w:pPr>
    </w:p>
    <w:p>
      <w:pPr>
        <w:ind w:left="180" w:hanging="174"/>
        <w:spacing w:after="0"/>
        <w:tabs>
          <w:tab w:leader="none" w:pos="180" w:val="left"/>
        </w:tabs>
        <w:numPr>
          <w:ilvl w:val="0"/>
          <w:numId w:val="8"/>
        </w:numPr>
        <w:rPr>
          <w:rFonts w:ascii="Arial" w:cs="Arial" w:eastAsia="Arial" w:hAnsi="Arial"/>
          <w:sz w:val="15"/>
          <w:szCs w:val="15"/>
          <w:color w:val="265E7C"/>
        </w:rPr>
      </w:pPr>
      <w:r>
        <w:rPr>
          <w:rFonts w:ascii="Arial" w:cs="Arial" w:eastAsia="Arial" w:hAnsi="Arial"/>
          <w:sz w:val="15"/>
          <w:szCs w:val="15"/>
          <w:color w:val="00304D"/>
        </w:rPr>
        <w:t>Hail Merry, a plant-based food brand (2009-2016)</w:t>
      </w:r>
    </w:p>
    <w:p>
      <w:pPr>
        <w:spacing w:after="0" w:line="12" w:lineRule="exact"/>
        <w:rPr>
          <w:rFonts w:ascii="Arial" w:cs="Arial" w:eastAsia="Arial" w:hAnsi="Arial"/>
          <w:sz w:val="15"/>
          <w:szCs w:val="15"/>
          <w:color w:val="265E7C"/>
        </w:rPr>
      </w:pPr>
    </w:p>
    <w:p>
      <w:pPr>
        <w:ind w:left="180" w:hanging="174"/>
        <w:spacing w:after="0"/>
        <w:tabs>
          <w:tab w:leader="none" w:pos="180" w:val="left"/>
        </w:tabs>
        <w:numPr>
          <w:ilvl w:val="0"/>
          <w:numId w:val="8"/>
        </w:numPr>
        <w:rPr>
          <w:rFonts w:ascii="Arial" w:cs="Arial" w:eastAsia="Arial" w:hAnsi="Arial"/>
          <w:sz w:val="15"/>
          <w:szCs w:val="15"/>
          <w:color w:val="265E7C"/>
        </w:rPr>
      </w:pPr>
      <w:r>
        <w:rPr>
          <w:rFonts w:ascii="Arial" w:cs="Arial" w:eastAsia="Arial" w:hAnsi="Arial"/>
          <w:sz w:val="15"/>
          <w:szCs w:val="15"/>
          <w:color w:val="00304D"/>
        </w:rPr>
        <w:t>PrimeSource Foodservice Equipment Distributors (2002-2012)</w:t>
      </w:r>
    </w:p>
    <w:p>
      <w:pPr>
        <w:spacing w:after="0" w:line="16" w:lineRule="exact"/>
        <w:rPr>
          <w:rFonts w:ascii="Arial" w:cs="Arial" w:eastAsia="Arial" w:hAnsi="Arial"/>
          <w:sz w:val="15"/>
          <w:szCs w:val="15"/>
          <w:color w:val="265E7C"/>
        </w:rPr>
      </w:pPr>
    </w:p>
    <w:p>
      <w:pPr>
        <w:ind w:left="180" w:hanging="174"/>
        <w:spacing w:after="0"/>
        <w:tabs>
          <w:tab w:leader="none" w:pos="180" w:val="left"/>
        </w:tabs>
        <w:numPr>
          <w:ilvl w:val="0"/>
          <w:numId w:val="8"/>
        </w:numPr>
        <w:rPr>
          <w:rFonts w:ascii="Arial" w:cs="Arial" w:eastAsia="Arial" w:hAnsi="Arial"/>
          <w:sz w:val="15"/>
          <w:szCs w:val="15"/>
          <w:color w:val="265E7C"/>
        </w:rPr>
      </w:pPr>
      <w:r>
        <w:rPr>
          <w:rFonts w:ascii="Arial" w:cs="Arial" w:eastAsia="Arial" w:hAnsi="Arial"/>
          <w:sz w:val="15"/>
          <w:szCs w:val="15"/>
          <w:color w:val="00304D"/>
        </w:rPr>
        <w:t>IRM, a data analytics subscription company (1998-2008)</w:t>
      </w:r>
    </w:p>
    <w:p>
      <w:pPr>
        <w:spacing w:after="0" w:line="8" w:lineRule="exact"/>
        <w:rPr>
          <w:rFonts w:ascii="Arial" w:cs="Arial" w:eastAsia="Arial" w:hAnsi="Arial"/>
          <w:sz w:val="15"/>
          <w:szCs w:val="15"/>
          <w:color w:val="265E7C"/>
        </w:rPr>
      </w:pPr>
    </w:p>
    <w:p>
      <w:pPr>
        <w:ind w:left="180" w:hanging="174"/>
        <w:spacing w:after="0"/>
        <w:tabs>
          <w:tab w:leader="none" w:pos="180" w:val="left"/>
        </w:tabs>
        <w:numPr>
          <w:ilvl w:val="0"/>
          <w:numId w:val="8"/>
        </w:numPr>
        <w:rPr>
          <w:rFonts w:ascii="Arial" w:cs="Arial" w:eastAsia="Arial" w:hAnsi="Arial"/>
          <w:sz w:val="15"/>
          <w:szCs w:val="15"/>
          <w:color w:val="265E7C"/>
        </w:rPr>
      </w:pPr>
      <w:r>
        <w:rPr>
          <w:rFonts w:ascii="Arial" w:cs="Arial" w:eastAsia="Arial" w:hAnsi="Arial"/>
          <w:sz w:val="15"/>
          <w:szCs w:val="15"/>
          <w:color w:val="00304D"/>
        </w:rPr>
        <w:t>Enersyst Development Center (1995-2002)</w:t>
      </w:r>
    </w:p>
    <w:p>
      <w:pPr>
        <w:spacing w:after="0" w:line="12" w:lineRule="exact"/>
        <w:rPr>
          <w:rFonts w:ascii="Arial" w:cs="Arial" w:eastAsia="Arial" w:hAnsi="Arial"/>
          <w:sz w:val="15"/>
          <w:szCs w:val="15"/>
          <w:color w:val="265E7C"/>
        </w:rPr>
      </w:pPr>
    </w:p>
    <w:p>
      <w:pPr>
        <w:ind w:left="180" w:hanging="174"/>
        <w:spacing w:after="0"/>
        <w:tabs>
          <w:tab w:leader="none" w:pos="180" w:val="left"/>
        </w:tabs>
        <w:numPr>
          <w:ilvl w:val="0"/>
          <w:numId w:val="8"/>
        </w:numPr>
        <w:rPr>
          <w:rFonts w:ascii="Arial" w:cs="Arial" w:eastAsia="Arial" w:hAnsi="Arial"/>
          <w:sz w:val="15"/>
          <w:szCs w:val="15"/>
          <w:color w:val="265E7C"/>
        </w:rPr>
      </w:pPr>
      <w:r>
        <w:rPr>
          <w:rFonts w:ascii="Arial" w:cs="Arial" w:eastAsia="Arial" w:hAnsi="Arial"/>
          <w:sz w:val="15"/>
          <w:szCs w:val="15"/>
          <w:color w:val="00304D"/>
        </w:rPr>
        <w:t>Lakeside Food Equipment Manufacturing (1998-2007)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-3707130</wp:posOffset>
            </wp:positionH>
            <wp:positionV relativeFrom="paragraph">
              <wp:posOffset>20320</wp:posOffset>
            </wp:positionV>
            <wp:extent cx="714121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5240" w:space="600"/>
            <w:col w:w="5400"/>
          </w:cols>
          <w:pgMar w:left="320" w:top="231" w:right="339" w:bottom="1440" w:gutter="0" w:footer="0" w:header="0"/>
          <w:type w:val="continuous"/>
        </w:sectPr>
      </w:pPr>
    </w:p>
    <w:p>
      <w:pPr>
        <w:ind w:left="80"/>
        <w:spacing w:after="0"/>
        <w:rPr>
          <w:sz w:val="20"/>
          <w:szCs w:val="20"/>
          <w:color w:val="auto"/>
        </w:rPr>
      </w:pPr>
      <w:r>
        <w:rPr>
          <w:rFonts w:ascii="Arial" w:cs="Arial" w:eastAsia="Arial" w:hAnsi="Arial"/>
          <w:sz w:val="15"/>
          <w:szCs w:val="15"/>
          <w:b w:val="1"/>
          <w:bCs w:val="1"/>
          <w:color w:val="00304D"/>
        </w:rPr>
        <w:t>Relevant skills</w:t>
      </w:r>
    </w:p>
    <w:p>
      <w:pPr>
        <w:spacing w:after="0" w:line="18" w:lineRule="exact"/>
        <w:rPr>
          <w:sz w:val="20"/>
          <w:szCs w:val="20"/>
          <w:color w:val="auto"/>
        </w:rPr>
      </w:pPr>
    </w:p>
    <w:p>
      <w:pPr>
        <w:jc w:val="both"/>
        <w:ind w:left="80" w:right="80"/>
        <w:spacing w:after="0" w:line="259" w:lineRule="auto"/>
        <w:rPr>
          <w:sz w:val="20"/>
          <w:szCs w:val="20"/>
          <w:color w:val="auto"/>
        </w:rPr>
      </w:pPr>
      <w:r>
        <w:rPr>
          <w:rFonts w:ascii="Arial" w:cs="Arial" w:eastAsia="Arial" w:hAnsi="Arial"/>
          <w:sz w:val="15"/>
          <w:szCs w:val="15"/>
          <w:color w:val="auto"/>
        </w:rPr>
        <w:t>Ms. Chapin’s more than three decades of experience in the food service and food processing industries give her a comprehensive understanding of strategy, franchising, commercial kitchen technology, brand management, product development, marketing, operational excellence, market expansion, and acquisition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114935</wp:posOffset>
            </wp:positionV>
            <wp:extent cx="7141210"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35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00304D"/>
        </w:rPr>
        <w:t>Glenn A. Eisenberg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7141210" cy="17551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1210" cy="1755140"/>
                    </a:xfrm>
                    <a:prstGeom prst="rect">
                      <a:avLst/>
                    </a:prstGeom>
                    <a:noFill/>
                  </pic:spPr>
                </pic:pic>
              </a:graphicData>
            </a:graphic>
          </wp:anchor>
        </w:drawing>
      </w: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880" w:type="dxa"/>
            <w:vAlign w:val="bottom"/>
          </w:tcPr>
          <w:p>
            <w:pPr>
              <w:spacing w:after="0"/>
              <w:rPr>
                <w:sz w:val="20"/>
                <w:szCs w:val="20"/>
                <w:color w:val="auto"/>
              </w:rPr>
            </w:pPr>
            <w:r>
              <w:rPr>
                <w:rFonts w:ascii="Arial" w:cs="Arial" w:eastAsia="Arial" w:hAnsi="Arial"/>
                <w:sz w:val="15"/>
                <w:szCs w:val="15"/>
                <w:b w:val="1"/>
                <w:bCs w:val="1"/>
                <w:color w:val="00304D"/>
              </w:rPr>
              <w:t>Age: 64</w:t>
            </w:r>
          </w:p>
        </w:tc>
        <w:tc>
          <w:tcPr>
            <w:tcW w:w="9200" w:type="dxa"/>
            <w:vAlign w:val="bottom"/>
          </w:tcPr>
          <w:p>
            <w:pPr>
              <w:ind w:left="120"/>
              <w:spacing w:after="0"/>
              <w:rPr>
                <w:sz w:val="20"/>
                <w:szCs w:val="20"/>
                <w:color w:val="auto"/>
              </w:rPr>
            </w:pPr>
            <w:r>
              <w:rPr>
                <w:rFonts w:ascii="Arial" w:cs="Arial" w:eastAsia="Arial" w:hAnsi="Arial"/>
                <w:sz w:val="15"/>
                <w:szCs w:val="15"/>
                <w:b w:val="1"/>
                <w:bCs w:val="1"/>
                <w:color w:val="00304D"/>
              </w:rPr>
              <w:t>Professional background</w:t>
            </w:r>
          </w:p>
        </w:tc>
        <w:tc>
          <w:tcPr>
            <w:tcW w:w="0" w:type="dxa"/>
            <w:vAlign w:val="bottom"/>
          </w:tcPr>
          <w:p>
            <w:pPr>
              <w:spacing w:after="0"/>
              <w:rPr>
                <w:sz w:val="1"/>
                <w:szCs w:val="1"/>
                <w:color w:val="auto"/>
              </w:rPr>
            </w:pPr>
          </w:p>
        </w:tc>
      </w:tr>
      <w:tr>
        <w:trPr>
          <w:trHeight w:val="209"/>
        </w:trPr>
        <w:tc>
          <w:tcPr>
            <w:tcW w:w="1880" w:type="dxa"/>
            <w:vAlign w:val="bottom"/>
          </w:tcPr>
          <w:p>
            <w:pPr>
              <w:spacing w:after="0"/>
              <w:rPr>
                <w:sz w:val="20"/>
                <w:szCs w:val="20"/>
                <w:color w:val="auto"/>
              </w:rPr>
            </w:pPr>
            <w:r>
              <w:rPr>
                <w:rFonts w:ascii="Arial" w:cs="Arial" w:eastAsia="Arial" w:hAnsi="Arial"/>
                <w:sz w:val="15"/>
                <w:szCs w:val="15"/>
                <w:b w:val="1"/>
                <w:bCs w:val="1"/>
                <w:color w:val="00304D"/>
              </w:rPr>
              <w:t>Director</w:t>
            </w:r>
          </w:p>
        </w:tc>
        <w:tc>
          <w:tcPr>
            <w:tcW w:w="9200" w:type="dxa"/>
            <w:vAlign w:val="bottom"/>
          </w:tcPr>
          <w:p>
            <w:pPr>
              <w:ind w:left="120"/>
              <w:spacing w:after="0"/>
              <w:rPr>
                <w:sz w:val="20"/>
                <w:szCs w:val="20"/>
                <w:color w:val="auto"/>
              </w:rPr>
            </w:pPr>
            <w:r>
              <w:rPr>
                <w:rFonts w:ascii="Arial" w:cs="Arial" w:eastAsia="Arial" w:hAnsi="Arial"/>
                <w:sz w:val="15"/>
                <w:szCs w:val="15"/>
                <w:color w:val="auto"/>
              </w:rPr>
              <w:t>Mr. Eisenberg has served as Executive Vice President and Chief Financial Officer of Labcorp (NYSE: LH), a global life sciences</w:t>
            </w:r>
          </w:p>
        </w:tc>
        <w:tc>
          <w:tcPr>
            <w:tcW w:w="0" w:type="dxa"/>
            <w:vAlign w:val="bottom"/>
          </w:tcPr>
          <w:p>
            <w:pPr>
              <w:spacing w:after="0"/>
              <w:rPr>
                <w:sz w:val="1"/>
                <w:szCs w:val="1"/>
                <w:color w:val="auto"/>
              </w:rPr>
            </w:pPr>
          </w:p>
        </w:tc>
      </w:tr>
      <w:tr>
        <w:trPr>
          <w:trHeight w:val="177"/>
        </w:trPr>
        <w:tc>
          <w:tcPr>
            <w:tcW w:w="1880" w:type="dxa"/>
            <w:vAlign w:val="bottom"/>
          </w:tcPr>
          <w:p>
            <w:pPr>
              <w:spacing w:after="0"/>
              <w:rPr>
                <w:sz w:val="20"/>
                <w:szCs w:val="20"/>
                <w:color w:val="auto"/>
              </w:rPr>
            </w:pPr>
            <w:r>
              <w:rPr>
                <w:rFonts w:ascii="Arial" w:cs="Arial" w:eastAsia="Arial" w:hAnsi="Arial"/>
                <w:sz w:val="15"/>
                <w:szCs w:val="15"/>
                <w:b w:val="1"/>
                <w:bCs w:val="1"/>
                <w:color w:val="00304D"/>
              </w:rPr>
              <w:t xml:space="preserve">since: </w:t>
            </w:r>
            <w:r>
              <w:rPr>
                <w:rFonts w:ascii="Arial" w:cs="Arial" w:eastAsia="Arial" w:hAnsi="Arial"/>
                <w:sz w:val="15"/>
                <w:szCs w:val="15"/>
                <w:b w:val="1"/>
                <w:bCs w:val="1"/>
                <w:color w:val="265E7C"/>
              </w:rPr>
              <w:t>2026</w:t>
            </w:r>
          </w:p>
        </w:tc>
        <w:tc>
          <w:tcPr>
            <w:tcW w:w="9200" w:type="dxa"/>
            <w:vAlign w:val="bottom"/>
          </w:tcPr>
          <w:p>
            <w:pPr>
              <w:ind w:left="120"/>
              <w:spacing w:after="0"/>
              <w:rPr>
                <w:sz w:val="20"/>
                <w:szCs w:val="20"/>
                <w:color w:val="auto"/>
              </w:rPr>
            </w:pPr>
            <w:r>
              <w:rPr>
                <w:rFonts w:ascii="Arial" w:cs="Arial" w:eastAsia="Arial" w:hAnsi="Arial"/>
                <w:sz w:val="15"/>
                <w:szCs w:val="15"/>
                <w:color w:val="auto"/>
              </w:rPr>
              <w:t>company, from June 2014 until December 2024 when he announced his retirement and currently serves as a Special Advisor. From</w:t>
            </w:r>
          </w:p>
        </w:tc>
        <w:tc>
          <w:tcPr>
            <w:tcW w:w="0" w:type="dxa"/>
            <w:vAlign w:val="bottom"/>
          </w:tcPr>
          <w:p>
            <w:pPr>
              <w:spacing w:after="0"/>
              <w:rPr>
                <w:sz w:val="1"/>
                <w:szCs w:val="1"/>
                <w:color w:val="auto"/>
              </w:rPr>
            </w:pPr>
          </w:p>
        </w:tc>
      </w:tr>
      <w:tr>
        <w:trPr>
          <w:trHeight w:val="164"/>
        </w:trPr>
        <w:tc>
          <w:tcPr>
            <w:tcW w:w="1880" w:type="dxa"/>
            <w:vAlign w:val="bottom"/>
            <w:vMerge w:val="restart"/>
          </w:tcPr>
          <w:p>
            <w:pPr>
              <w:spacing w:after="0"/>
              <w:rPr>
                <w:sz w:val="20"/>
                <w:szCs w:val="20"/>
                <w:color w:val="auto"/>
              </w:rPr>
            </w:pPr>
            <w:r>
              <w:rPr>
                <w:rFonts w:ascii="Arial" w:cs="Arial" w:eastAsia="Arial" w:hAnsi="Arial"/>
                <w:sz w:val="15"/>
                <w:szCs w:val="15"/>
                <w:b w:val="1"/>
                <w:bCs w:val="1"/>
                <w:i w:val="1"/>
                <w:iCs w:val="1"/>
                <w:color w:val="265E7C"/>
              </w:rPr>
              <w:t>INDEPENDENT</w:t>
            </w:r>
          </w:p>
        </w:tc>
        <w:tc>
          <w:tcPr>
            <w:tcW w:w="9200" w:type="dxa"/>
            <w:vAlign w:val="bottom"/>
          </w:tcPr>
          <w:p>
            <w:pPr>
              <w:ind w:left="120"/>
              <w:spacing w:after="0" w:line="164" w:lineRule="exact"/>
              <w:rPr>
                <w:sz w:val="20"/>
                <w:szCs w:val="20"/>
                <w:color w:val="auto"/>
              </w:rPr>
            </w:pPr>
            <w:r>
              <w:rPr>
                <w:rFonts w:ascii="Arial" w:cs="Arial" w:eastAsia="Arial" w:hAnsi="Arial"/>
                <w:sz w:val="15"/>
                <w:szCs w:val="15"/>
                <w:color w:val="auto"/>
              </w:rPr>
              <w:t>2002 until joining the Company, he served as the Executive Vice President of Finance and Administration and Chief Financial Officer at</w:t>
            </w:r>
          </w:p>
        </w:tc>
        <w:tc>
          <w:tcPr>
            <w:tcW w:w="0" w:type="dxa"/>
            <w:vAlign w:val="bottom"/>
          </w:tcPr>
          <w:p>
            <w:pPr>
              <w:spacing w:after="0"/>
              <w:rPr>
                <w:sz w:val="1"/>
                <w:szCs w:val="1"/>
                <w:color w:val="auto"/>
              </w:rPr>
            </w:pPr>
          </w:p>
        </w:tc>
      </w:tr>
      <w:tr>
        <w:trPr>
          <w:trHeight w:val="177"/>
        </w:trPr>
        <w:tc>
          <w:tcPr>
            <w:tcW w:w="1880" w:type="dxa"/>
            <w:vAlign w:val="bottom"/>
            <w:vMerge w:val="continue"/>
          </w:tcPr>
          <w:p>
            <w:pPr>
              <w:spacing w:after="0"/>
              <w:rPr>
                <w:sz w:val="15"/>
                <w:szCs w:val="15"/>
                <w:color w:val="auto"/>
              </w:rPr>
            </w:pPr>
          </w:p>
        </w:tc>
        <w:tc>
          <w:tcPr>
            <w:tcW w:w="9200" w:type="dxa"/>
            <w:vAlign w:val="bottom"/>
          </w:tcPr>
          <w:p>
            <w:pPr>
              <w:ind w:left="120"/>
              <w:spacing w:after="0"/>
              <w:rPr>
                <w:sz w:val="20"/>
                <w:szCs w:val="20"/>
                <w:color w:val="auto"/>
              </w:rPr>
            </w:pPr>
            <w:r>
              <w:rPr>
                <w:rFonts w:ascii="Arial" w:cs="Arial" w:eastAsia="Arial" w:hAnsi="Arial"/>
                <w:sz w:val="15"/>
                <w:szCs w:val="15"/>
                <w:color w:val="auto"/>
              </w:rPr>
              <w:t>The Timken Company, a leading global manufacturer of highly engineered bearings and alloy steels and related products and services.</w:t>
            </w:r>
          </w:p>
        </w:tc>
        <w:tc>
          <w:tcPr>
            <w:tcW w:w="0" w:type="dxa"/>
            <w:vAlign w:val="bottom"/>
          </w:tcPr>
          <w:p>
            <w:pPr>
              <w:spacing w:after="0"/>
              <w:rPr>
                <w:sz w:val="1"/>
                <w:szCs w:val="1"/>
                <w:color w:val="auto"/>
              </w:rPr>
            </w:pPr>
          </w:p>
        </w:tc>
      </w:tr>
      <w:tr>
        <w:trPr>
          <w:trHeight w:val="177"/>
        </w:trPr>
        <w:tc>
          <w:tcPr>
            <w:tcW w:w="1880" w:type="dxa"/>
            <w:vAlign w:val="bottom"/>
          </w:tcPr>
          <w:p>
            <w:pPr>
              <w:spacing w:after="0"/>
              <w:rPr>
                <w:sz w:val="20"/>
                <w:szCs w:val="20"/>
                <w:color w:val="auto"/>
              </w:rPr>
            </w:pPr>
            <w:r>
              <w:rPr>
                <w:rFonts w:ascii="Arial" w:cs="Arial" w:eastAsia="Arial" w:hAnsi="Arial"/>
                <w:sz w:val="15"/>
                <w:szCs w:val="15"/>
                <w:b w:val="1"/>
                <w:bCs w:val="1"/>
                <w:color w:val="00304D"/>
              </w:rPr>
              <w:t>Committees:</w:t>
            </w:r>
          </w:p>
        </w:tc>
        <w:tc>
          <w:tcPr>
            <w:tcW w:w="9200" w:type="dxa"/>
            <w:vAlign w:val="bottom"/>
          </w:tcPr>
          <w:p>
            <w:pPr>
              <w:ind w:left="120"/>
              <w:spacing w:after="0"/>
              <w:rPr>
                <w:sz w:val="20"/>
                <w:szCs w:val="20"/>
                <w:color w:val="auto"/>
              </w:rPr>
            </w:pPr>
            <w:r>
              <w:rPr>
                <w:rFonts w:ascii="Arial" w:cs="Arial" w:eastAsia="Arial" w:hAnsi="Arial"/>
                <w:sz w:val="15"/>
                <w:szCs w:val="15"/>
                <w:color w:val="auto"/>
              </w:rPr>
              <w:t>Previously, he served as President and Chief Operating Officer of United Dominion Industries, a diversified industrial manufacturer, now</w:t>
            </w:r>
          </w:p>
        </w:tc>
        <w:tc>
          <w:tcPr>
            <w:tcW w:w="0" w:type="dxa"/>
            <w:vAlign w:val="bottom"/>
          </w:tcPr>
          <w:p>
            <w:pPr>
              <w:spacing w:after="0"/>
              <w:rPr>
                <w:sz w:val="1"/>
                <w:szCs w:val="1"/>
                <w:color w:val="auto"/>
              </w:rPr>
            </w:pPr>
          </w:p>
        </w:tc>
      </w:tr>
      <w:tr>
        <w:trPr>
          <w:trHeight w:val="189"/>
        </w:trPr>
        <w:tc>
          <w:tcPr>
            <w:tcW w:w="1880" w:type="dxa"/>
            <w:vAlign w:val="bottom"/>
          </w:tcPr>
          <w:p>
            <w:pPr>
              <w:spacing w:after="0"/>
              <w:rPr>
                <w:sz w:val="20"/>
                <w:szCs w:val="20"/>
                <w:color w:val="auto"/>
              </w:rPr>
            </w:pPr>
            <w:r>
              <w:rPr>
                <w:rFonts w:ascii="Arial" w:cs="Arial" w:eastAsia="Arial" w:hAnsi="Arial"/>
                <w:sz w:val="15"/>
                <w:szCs w:val="15"/>
                <w:color w:val="265E7C"/>
              </w:rPr>
              <w:t xml:space="preserve">•  </w:t>
            </w:r>
            <w:r>
              <w:rPr>
                <w:rFonts w:ascii="Arial" w:cs="Arial" w:eastAsia="Arial" w:hAnsi="Arial"/>
                <w:sz w:val="15"/>
                <w:szCs w:val="15"/>
                <w:color w:val="00304D"/>
              </w:rPr>
              <w:t>Nominating and</w:t>
            </w:r>
          </w:p>
        </w:tc>
        <w:tc>
          <w:tcPr>
            <w:tcW w:w="9200" w:type="dxa"/>
            <w:vAlign w:val="bottom"/>
          </w:tcPr>
          <w:p>
            <w:pPr>
              <w:ind w:left="120"/>
              <w:spacing w:after="0"/>
              <w:rPr>
                <w:sz w:val="20"/>
                <w:szCs w:val="20"/>
                <w:color w:val="auto"/>
              </w:rPr>
            </w:pPr>
            <w:r>
              <w:rPr>
                <w:rFonts w:ascii="Arial" w:cs="Arial" w:eastAsia="Arial" w:hAnsi="Arial"/>
                <w:sz w:val="15"/>
                <w:szCs w:val="15"/>
                <w:color w:val="auto"/>
              </w:rPr>
              <w:t>a subsidiary of SPX Corporation, after working in several roles in finance, including Executive Vice President and Chief Financial Officer</w:t>
            </w:r>
          </w:p>
        </w:tc>
        <w:tc>
          <w:tcPr>
            <w:tcW w:w="0" w:type="dxa"/>
            <w:vAlign w:val="bottom"/>
          </w:tcPr>
          <w:p>
            <w:pPr>
              <w:spacing w:after="0"/>
              <w:rPr>
                <w:sz w:val="1"/>
                <w:szCs w:val="1"/>
                <w:color w:val="auto"/>
              </w:rPr>
            </w:pPr>
          </w:p>
        </w:tc>
      </w:tr>
      <w:tr>
        <w:trPr>
          <w:trHeight w:val="225"/>
        </w:trPr>
        <w:tc>
          <w:tcPr>
            <w:tcW w:w="1880" w:type="dxa"/>
            <w:vAlign w:val="bottom"/>
          </w:tcPr>
          <w:p>
            <w:pPr>
              <w:ind w:left="180"/>
              <w:spacing w:after="0"/>
              <w:rPr>
                <w:sz w:val="20"/>
                <w:szCs w:val="20"/>
                <w:color w:val="auto"/>
              </w:rPr>
            </w:pPr>
            <w:r>
              <w:rPr>
                <w:rFonts w:ascii="Arial" w:cs="Arial" w:eastAsia="Arial" w:hAnsi="Arial"/>
                <w:sz w:val="15"/>
                <w:szCs w:val="15"/>
                <w:color w:val="00304D"/>
              </w:rPr>
              <w:t>Corporate Governance*</w:t>
            </w:r>
          </w:p>
        </w:tc>
        <w:tc>
          <w:tcPr>
            <w:tcW w:w="9200" w:type="dxa"/>
            <w:vAlign w:val="bottom"/>
          </w:tcPr>
          <w:p>
            <w:pPr>
              <w:ind w:left="120"/>
              <w:spacing w:after="0"/>
              <w:rPr>
                <w:sz w:val="20"/>
                <w:szCs w:val="20"/>
                <w:color w:val="auto"/>
              </w:rPr>
            </w:pPr>
            <w:r>
              <w:rPr>
                <w:rFonts w:ascii="Arial" w:cs="Arial" w:eastAsia="Arial" w:hAnsi="Arial"/>
                <w:sz w:val="15"/>
                <w:szCs w:val="15"/>
                <w:color w:val="auto"/>
              </w:rPr>
              <w:t>and President of its Test Instrumentation segment.</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both"/>
        <w:ind w:left="2080" w:right="80"/>
        <w:spacing w:after="0" w:line="253" w:lineRule="auto"/>
        <w:rPr>
          <w:sz w:val="20"/>
          <w:szCs w:val="20"/>
          <w:color w:val="auto"/>
        </w:rPr>
      </w:pPr>
      <w:r>
        <w:rPr>
          <w:rFonts w:ascii="Arial" w:cs="Arial" w:eastAsia="Arial" w:hAnsi="Arial"/>
          <w:sz w:val="15"/>
          <w:szCs w:val="15"/>
          <w:color w:val="auto"/>
        </w:rPr>
        <w:t>Mr. Eisenberg serves on the Board of Directors of Solventum (NYSE: SOLV) since April 2024, where he chairs the Audit Committee and Lumexa Imaging (NASDAQ: LMRI) since March 2025, where he chairs the Audit Committee and is a member of the Compensation Committee. Previously, he served on the public Boards of US Ecology, Inc. until May 2022, where he chaired the Audit Committee; Family Dollar Stores Inc. until July 2015, where he chaired the Audit Committee; Alpha Natural Resources Inc. until May 2015, where he was the lead independent director and chaired the Nominating and Corporate Governance Committee, and Perspecta Inc. until May 2021, where he served on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71412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12"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0304D"/>
        </w:rPr>
        <w:t>Service on other public boards</w:t>
      </w:r>
    </w:p>
    <w:p>
      <w:pPr>
        <w:spacing w:after="0" w:line="18" w:lineRule="exact"/>
        <w:rPr>
          <w:sz w:val="20"/>
          <w:szCs w:val="20"/>
          <w:color w:val="auto"/>
        </w:rPr>
      </w:pPr>
    </w:p>
    <w:p>
      <w:pPr>
        <w:ind w:left="260" w:right="8740" w:hanging="175"/>
        <w:spacing w:after="0" w:line="260" w:lineRule="auto"/>
        <w:tabs>
          <w:tab w:leader="none" w:pos="260" w:val="left"/>
        </w:tabs>
        <w:numPr>
          <w:ilvl w:val="0"/>
          <w:numId w:val="9"/>
        </w:numPr>
        <w:rPr>
          <w:rFonts w:ascii="Arial" w:cs="Arial" w:eastAsia="Arial" w:hAnsi="Arial"/>
          <w:sz w:val="15"/>
          <w:szCs w:val="15"/>
          <w:color w:val="265E7C"/>
        </w:rPr>
      </w:pPr>
      <w:r>
        <w:rPr>
          <w:rFonts w:ascii="Arial" w:cs="Arial" w:eastAsia="Arial" w:hAnsi="Arial"/>
          <w:sz w:val="15"/>
          <w:szCs w:val="15"/>
          <w:color w:val="00304D"/>
        </w:rPr>
        <w:t>MiniMed Group, Inc. (since 2026) (audit committee member)</w:t>
      </w:r>
    </w:p>
    <w:p>
      <w:pPr>
        <w:ind w:left="260" w:hanging="175"/>
        <w:spacing w:after="0"/>
        <w:tabs>
          <w:tab w:leader="none" w:pos="260" w:val="left"/>
        </w:tabs>
        <w:numPr>
          <w:ilvl w:val="0"/>
          <w:numId w:val="9"/>
        </w:numPr>
        <w:rPr>
          <w:rFonts w:ascii="Arial" w:cs="Arial" w:eastAsia="Arial" w:hAnsi="Arial"/>
          <w:sz w:val="15"/>
          <w:szCs w:val="15"/>
          <w:color w:val="265E7C"/>
        </w:rPr>
      </w:pPr>
      <w:r>
        <w:rPr>
          <w:rFonts w:ascii="Arial" w:cs="Arial" w:eastAsia="Arial" w:hAnsi="Arial"/>
          <w:sz w:val="15"/>
          <w:szCs w:val="15"/>
          <w:color w:val="00304D"/>
        </w:rPr>
        <w:t>Lumexa Imaging (since 2025)</w:t>
      </w:r>
    </w:p>
    <w:p>
      <w:pPr>
        <w:spacing w:after="0" w:line="8" w:lineRule="exact"/>
        <w:rPr>
          <w:rFonts w:ascii="Arial" w:cs="Arial" w:eastAsia="Arial" w:hAnsi="Arial"/>
          <w:sz w:val="15"/>
          <w:szCs w:val="15"/>
          <w:color w:val="265E7C"/>
        </w:rPr>
      </w:pPr>
    </w:p>
    <w:p>
      <w:pPr>
        <w:ind w:left="260"/>
        <w:spacing w:after="0"/>
        <w:rPr>
          <w:rFonts w:ascii="Arial" w:cs="Arial" w:eastAsia="Arial" w:hAnsi="Arial"/>
          <w:sz w:val="15"/>
          <w:szCs w:val="15"/>
          <w:color w:val="265E7C"/>
        </w:rPr>
      </w:pPr>
      <w:r>
        <w:rPr>
          <w:rFonts w:ascii="Arial" w:cs="Arial" w:eastAsia="Arial" w:hAnsi="Arial"/>
          <w:sz w:val="15"/>
          <w:szCs w:val="15"/>
          <w:color w:val="00304D"/>
        </w:rPr>
        <w:t>(audit committee chair and compensation committee member)</w:t>
      </w:r>
    </w:p>
    <w:p>
      <w:pPr>
        <w:spacing w:after="0" w:line="4" w:lineRule="exact"/>
        <w:rPr>
          <w:rFonts w:ascii="Arial" w:cs="Arial" w:eastAsia="Arial" w:hAnsi="Arial"/>
          <w:sz w:val="15"/>
          <w:szCs w:val="15"/>
          <w:color w:val="265E7C"/>
        </w:rPr>
      </w:pPr>
    </w:p>
    <w:p>
      <w:pPr>
        <w:ind w:left="260" w:right="8560" w:hanging="175"/>
        <w:spacing w:after="0" w:line="251" w:lineRule="auto"/>
        <w:tabs>
          <w:tab w:leader="none" w:pos="260" w:val="left"/>
        </w:tabs>
        <w:numPr>
          <w:ilvl w:val="0"/>
          <w:numId w:val="9"/>
        </w:numPr>
        <w:rPr>
          <w:rFonts w:ascii="Arial" w:cs="Arial" w:eastAsia="Arial" w:hAnsi="Arial"/>
          <w:sz w:val="15"/>
          <w:szCs w:val="15"/>
          <w:color w:val="265E7C"/>
        </w:rPr>
      </w:pPr>
      <w:r>
        <w:rPr>
          <w:rFonts w:ascii="Arial" w:cs="Arial" w:eastAsia="Arial" w:hAnsi="Arial"/>
          <w:sz w:val="15"/>
          <w:szCs w:val="15"/>
          <w:color w:val="00304D"/>
        </w:rPr>
        <w:t>Solventum Corporation (since 2024) (audit committee chair)</w:t>
      </w:r>
    </w:p>
    <w:p>
      <w:pPr>
        <w:spacing w:after="0" w:line="1" w:lineRule="exact"/>
        <w:rPr>
          <w:rFonts w:ascii="Arial" w:cs="Arial" w:eastAsia="Arial" w:hAnsi="Arial"/>
          <w:sz w:val="15"/>
          <w:szCs w:val="15"/>
          <w:color w:val="265E7C"/>
        </w:rPr>
      </w:pPr>
    </w:p>
    <w:p>
      <w:pPr>
        <w:ind w:left="260" w:hanging="175"/>
        <w:spacing w:after="0"/>
        <w:tabs>
          <w:tab w:leader="none" w:pos="260" w:val="left"/>
        </w:tabs>
        <w:numPr>
          <w:ilvl w:val="0"/>
          <w:numId w:val="9"/>
        </w:numPr>
        <w:rPr>
          <w:rFonts w:ascii="Arial" w:cs="Arial" w:eastAsia="Arial" w:hAnsi="Arial"/>
          <w:sz w:val="15"/>
          <w:szCs w:val="15"/>
          <w:color w:val="265E7C"/>
        </w:rPr>
      </w:pPr>
      <w:r>
        <w:rPr>
          <w:rFonts w:ascii="Arial" w:cs="Arial" w:eastAsia="Arial" w:hAnsi="Arial"/>
          <w:sz w:val="15"/>
          <w:szCs w:val="15"/>
          <w:color w:val="00304D"/>
        </w:rPr>
        <w:t>US Ecology, Inc. (2018-2022)</w:t>
      </w:r>
    </w:p>
    <w:p>
      <w:pPr>
        <w:spacing w:after="0" w:line="16" w:lineRule="exact"/>
        <w:rPr>
          <w:rFonts w:ascii="Arial" w:cs="Arial" w:eastAsia="Arial" w:hAnsi="Arial"/>
          <w:sz w:val="15"/>
          <w:szCs w:val="15"/>
          <w:color w:val="265E7C"/>
        </w:rPr>
      </w:pPr>
    </w:p>
    <w:p>
      <w:pPr>
        <w:ind w:left="260" w:right="8460" w:hanging="175"/>
        <w:spacing w:after="0" w:line="248" w:lineRule="auto"/>
        <w:tabs>
          <w:tab w:leader="none" w:pos="260" w:val="left"/>
        </w:tabs>
        <w:numPr>
          <w:ilvl w:val="0"/>
          <w:numId w:val="9"/>
        </w:numPr>
        <w:rPr>
          <w:rFonts w:ascii="Arial" w:cs="Arial" w:eastAsia="Arial" w:hAnsi="Arial"/>
          <w:sz w:val="15"/>
          <w:szCs w:val="15"/>
          <w:color w:val="265E7C"/>
        </w:rPr>
      </w:pPr>
      <w:r>
        <w:rPr>
          <w:rFonts w:ascii="Arial" w:cs="Arial" w:eastAsia="Arial" w:hAnsi="Arial"/>
          <w:sz w:val="15"/>
          <w:szCs w:val="15"/>
          <w:color w:val="00304D"/>
        </w:rPr>
        <w:t>Family Dollar Stores Inc. (2002-2015) (audit committee chair)</w:t>
      </w:r>
    </w:p>
    <w:p>
      <w:pPr>
        <w:spacing w:after="0" w:line="1" w:lineRule="exact"/>
        <w:rPr>
          <w:rFonts w:ascii="Arial" w:cs="Arial" w:eastAsia="Arial" w:hAnsi="Arial"/>
          <w:sz w:val="15"/>
          <w:szCs w:val="15"/>
          <w:color w:val="265E7C"/>
        </w:rPr>
      </w:pPr>
    </w:p>
    <w:p>
      <w:pPr>
        <w:ind w:left="260" w:hanging="175"/>
        <w:spacing w:after="0"/>
        <w:tabs>
          <w:tab w:leader="none" w:pos="260" w:val="left"/>
        </w:tabs>
        <w:numPr>
          <w:ilvl w:val="0"/>
          <w:numId w:val="9"/>
        </w:numPr>
        <w:rPr>
          <w:rFonts w:ascii="Arial" w:cs="Arial" w:eastAsia="Arial" w:hAnsi="Arial"/>
          <w:sz w:val="15"/>
          <w:szCs w:val="15"/>
          <w:color w:val="265E7C"/>
        </w:rPr>
      </w:pPr>
      <w:r>
        <w:rPr>
          <w:rFonts w:ascii="Arial" w:cs="Arial" w:eastAsia="Arial" w:hAnsi="Arial"/>
          <w:sz w:val="15"/>
          <w:szCs w:val="15"/>
          <w:color w:val="00304D"/>
        </w:rPr>
        <w:t>Alpha Natural Resources Inc. (2009-2015)</w:t>
      </w:r>
    </w:p>
    <w:p>
      <w:pPr>
        <w:spacing w:after="0" w:line="4" w:lineRule="exact"/>
        <w:rPr>
          <w:rFonts w:ascii="Arial" w:cs="Arial" w:eastAsia="Arial" w:hAnsi="Arial"/>
          <w:sz w:val="15"/>
          <w:szCs w:val="15"/>
          <w:color w:val="265E7C"/>
        </w:rPr>
      </w:pPr>
    </w:p>
    <w:p>
      <w:pPr>
        <w:ind w:left="260"/>
        <w:spacing w:after="0"/>
        <w:rPr>
          <w:rFonts w:ascii="Arial" w:cs="Arial" w:eastAsia="Arial" w:hAnsi="Arial"/>
          <w:sz w:val="15"/>
          <w:szCs w:val="15"/>
          <w:color w:val="265E7C"/>
        </w:rPr>
      </w:pPr>
      <w:r>
        <w:rPr>
          <w:rFonts w:ascii="Arial" w:cs="Arial" w:eastAsia="Arial" w:hAnsi="Arial"/>
          <w:sz w:val="15"/>
          <w:szCs w:val="15"/>
          <w:color w:val="00304D"/>
        </w:rPr>
        <w:t>(lead independent director and nominating &amp; corporate governance committee chair)</w:t>
      </w:r>
    </w:p>
    <w:p>
      <w:pPr>
        <w:spacing w:after="0" w:line="12" w:lineRule="exact"/>
        <w:rPr>
          <w:rFonts w:ascii="Arial" w:cs="Arial" w:eastAsia="Arial" w:hAnsi="Arial"/>
          <w:sz w:val="15"/>
          <w:szCs w:val="15"/>
          <w:color w:val="265E7C"/>
        </w:rPr>
      </w:pPr>
    </w:p>
    <w:p>
      <w:pPr>
        <w:ind w:left="260" w:right="9160" w:hanging="175"/>
        <w:spacing w:after="0" w:line="269" w:lineRule="auto"/>
        <w:tabs>
          <w:tab w:leader="none" w:pos="260" w:val="left"/>
        </w:tabs>
        <w:numPr>
          <w:ilvl w:val="0"/>
          <w:numId w:val="9"/>
        </w:numPr>
        <w:rPr>
          <w:rFonts w:ascii="Arial" w:cs="Arial" w:eastAsia="Arial" w:hAnsi="Arial"/>
          <w:sz w:val="15"/>
          <w:szCs w:val="15"/>
          <w:color w:val="265E7C"/>
        </w:rPr>
      </w:pPr>
      <w:r>
        <w:rPr>
          <w:rFonts w:ascii="Arial" w:cs="Arial" w:eastAsia="Arial" w:hAnsi="Arial"/>
          <w:sz w:val="15"/>
          <w:szCs w:val="15"/>
          <w:color w:val="00304D"/>
        </w:rPr>
        <w:t>Perspecta Inc. (2019-2022) (audit 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71412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5"/>
          <w:szCs w:val="15"/>
          <w:b w:val="1"/>
          <w:bCs w:val="1"/>
          <w:color w:val="00304D"/>
        </w:rPr>
        <w:t>Relevant skills</w:t>
      </w:r>
    </w:p>
    <w:p>
      <w:pPr>
        <w:spacing w:after="0" w:line="18" w:lineRule="exact"/>
        <w:rPr>
          <w:sz w:val="20"/>
          <w:szCs w:val="20"/>
          <w:color w:val="auto"/>
        </w:rPr>
      </w:pPr>
    </w:p>
    <w:p>
      <w:pPr>
        <w:ind w:left="80" w:right="80"/>
        <w:spacing w:after="0" w:line="263" w:lineRule="auto"/>
        <w:rPr>
          <w:sz w:val="20"/>
          <w:szCs w:val="20"/>
          <w:color w:val="auto"/>
        </w:rPr>
      </w:pPr>
      <w:r>
        <w:rPr>
          <w:rFonts w:ascii="Arial" w:cs="Arial" w:eastAsia="Arial" w:hAnsi="Arial"/>
          <w:sz w:val="15"/>
          <w:szCs w:val="15"/>
          <w:color w:val="auto"/>
        </w:rPr>
        <w:t>Mr. Eisenberg’s experience as a public company finance executive provides the Board with significant financial expertise. He also brings extensive audit committee expertise and valuable experience in portfolio optimization.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7141210"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47" w:lineRule="exact"/>
        <w:rPr>
          <w:sz w:val="20"/>
          <w:szCs w:val="20"/>
          <w:color w:val="auto"/>
        </w:rPr>
      </w:pPr>
    </w:p>
    <w:p>
      <w:pPr>
        <w:ind w:left="300" w:hanging="299"/>
        <w:spacing w:after="0"/>
        <w:tabs>
          <w:tab w:leader="none" w:pos="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Effective March 5, 2026</w:t>
      </w:r>
    </w:p>
    <w:p>
      <w:pPr>
        <w:spacing w:after="0" w:line="16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00304D"/>
        </w:rPr>
        <w:t>Timothy J. FitzGerald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00" w:type="dxa"/>
            <w:vAlign w:val="bottom"/>
            <w:tcBorders>
              <w:top w:val="single" w:sz="8" w:color="002F4D"/>
            </w:tcBorders>
            <w:shd w:val="clear" w:color="auto" w:fill="E5ECF1"/>
          </w:tcPr>
          <w:p>
            <w:pPr>
              <w:ind w:left="80"/>
              <w:spacing w:after="0"/>
              <w:rPr>
                <w:sz w:val="20"/>
                <w:szCs w:val="20"/>
                <w:color w:val="auto"/>
              </w:rPr>
            </w:pPr>
            <w:r>
              <w:rPr>
                <w:rFonts w:ascii="Arial" w:cs="Arial" w:eastAsia="Arial" w:hAnsi="Arial"/>
                <w:sz w:val="15"/>
                <w:szCs w:val="15"/>
                <w:b w:val="1"/>
                <w:bCs w:val="1"/>
                <w:color w:val="00304D"/>
              </w:rPr>
              <w:t>Age: 56</w:t>
            </w:r>
          </w:p>
        </w:tc>
        <w:tc>
          <w:tcPr>
            <w:tcW w:w="9240" w:type="dxa"/>
            <w:vAlign w:val="bottom"/>
            <w:tcBorders>
              <w:top w:val="single" w:sz="8" w:color="002F4D"/>
            </w:tcBorders>
          </w:tcPr>
          <w:p>
            <w:pPr>
              <w:ind w:left="80"/>
              <w:spacing w:after="0"/>
              <w:rPr>
                <w:sz w:val="20"/>
                <w:szCs w:val="20"/>
                <w:color w:val="auto"/>
              </w:rPr>
            </w:pPr>
            <w:r>
              <w:rPr>
                <w:rFonts w:ascii="Arial" w:cs="Arial" w:eastAsia="Arial" w:hAnsi="Arial"/>
                <w:sz w:val="15"/>
                <w:szCs w:val="15"/>
                <w:b w:val="1"/>
                <w:bCs w:val="1"/>
                <w:color w:val="00304D"/>
              </w:rPr>
              <w:t>Professional background</w:t>
            </w:r>
          </w:p>
        </w:tc>
        <w:tc>
          <w:tcPr>
            <w:tcW w:w="0" w:type="dxa"/>
            <w:vAlign w:val="bottom"/>
          </w:tcPr>
          <w:p>
            <w:pPr>
              <w:spacing w:after="0"/>
              <w:rPr>
                <w:sz w:val="1"/>
                <w:szCs w:val="1"/>
                <w:color w:val="auto"/>
              </w:rPr>
            </w:pPr>
          </w:p>
        </w:tc>
      </w:tr>
      <w:tr>
        <w:trPr>
          <w:trHeight w:val="209"/>
        </w:trPr>
        <w:tc>
          <w:tcPr>
            <w:tcW w:w="2000" w:type="dxa"/>
            <w:vAlign w:val="bottom"/>
            <w:shd w:val="clear" w:color="auto" w:fill="E5ECF1"/>
          </w:tcPr>
          <w:p>
            <w:pPr>
              <w:ind w:left="80"/>
              <w:spacing w:after="0"/>
              <w:rPr>
                <w:sz w:val="20"/>
                <w:szCs w:val="20"/>
                <w:color w:val="auto"/>
              </w:rPr>
            </w:pPr>
            <w:r>
              <w:rPr>
                <w:rFonts w:ascii="Arial" w:cs="Arial" w:eastAsia="Arial" w:hAnsi="Arial"/>
                <w:sz w:val="15"/>
                <w:szCs w:val="15"/>
                <w:b w:val="1"/>
                <w:bCs w:val="1"/>
                <w:color w:val="00304D"/>
              </w:rPr>
              <w:t>Director</w:t>
            </w:r>
          </w:p>
        </w:tc>
        <w:tc>
          <w:tcPr>
            <w:tcW w:w="9240" w:type="dxa"/>
            <w:vAlign w:val="bottom"/>
          </w:tcPr>
          <w:p>
            <w:pPr>
              <w:ind w:left="80"/>
              <w:spacing w:after="0"/>
              <w:rPr>
                <w:sz w:val="20"/>
                <w:szCs w:val="20"/>
                <w:color w:val="auto"/>
              </w:rPr>
            </w:pPr>
            <w:r>
              <w:rPr>
                <w:rFonts w:ascii="Arial" w:cs="Arial" w:eastAsia="Arial" w:hAnsi="Arial"/>
                <w:sz w:val="15"/>
                <w:szCs w:val="15"/>
                <w:color w:val="auto"/>
              </w:rPr>
              <w:t>Mr. FitzGerald has been Chief Executive Officer of Middleby since February 2019. Before assuming that role, he held many positions</w:t>
            </w:r>
          </w:p>
        </w:tc>
        <w:tc>
          <w:tcPr>
            <w:tcW w:w="0" w:type="dxa"/>
            <w:vAlign w:val="bottom"/>
          </w:tcPr>
          <w:p>
            <w:pPr>
              <w:spacing w:after="0"/>
              <w:rPr>
                <w:sz w:val="1"/>
                <w:szCs w:val="1"/>
                <w:color w:val="auto"/>
              </w:rPr>
            </w:pPr>
          </w:p>
        </w:tc>
      </w:tr>
      <w:tr>
        <w:trPr>
          <w:trHeight w:val="177"/>
        </w:trPr>
        <w:tc>
          <w:tcPr>
            <w:tcW w:w="2000" w:type="dxa"/>
            <w:vAlign w:val="bottom"/>
            <w:shd w:val="clear" w:color="auto" w:fill="E5ECF1"/>
          </w:tcPr>
          <w:p>
            <w:pPr>
              <w:ind w:left="80"/>
              <w:spacing w:after="0"/>
              <w:rPr>
                <w:sz w:val="20"/>
                <w:szCs w:val="20"/>
                <w:color w:val="auto"/>
              </w:rPr>
            </w:pPr>
            <w:r>
              <w:rPr>
                <w:rFonts w:ascii="Arial" w:cs="Arial" w:eastAsia="Arial" w:hAnsi="Arial"/>
                <w:sz w:val="15"/>
                <w:szCs w:val="15"/>
                <w:b w:val="1"/>
                <w:bCs w:val="1"/>
                <w:color w:val="00304D"/>
              </w:rPr>
              <w:t xml:space="preserve">since: </w:t>
            </w:r>
            <w:r>
              <w:rPr>
                <w:rFonts w:ascii="Arial" w:cs="Arial" w:eastAsia="Arial" w:hAnsi="Arial"/>
                <w:sz w:val="15"/>
                <w:szCs w:val="15"/>
                <w:b w:val="1"/>
                <w:bCs w:val="1"/>
                <w:color w:val="265E7C"/>
              </w:rPr>
              <w:t>2019</w:t>
            </w:r>
          </w:p>
        </w:tc>
        <w:tc>
          <w:tcPr>
            <w:tcW w:w="9240" w:type="dxa"/>
            <w:vAlign w:val="bottom"/>
          </w:tcPr>
          <w:p>
            <w:pPr>
              <w:ind w:left="80"/>
              <w:spacing w:after="0"/>
              <w:rPr>
                <w:sz w:val="20"/>
                <w:szCs w:val="20"/>
                <w:color w:val="auto"/>
              </w:rPr>
            </w:pPr>
            <w:r>
              <w:rPr>
                <w:rFonts w:ascii="Arial" w:cs="Arial" w:eastAsia="Arial" w:hAnsi="Arial"/>
                <w:sz w:val="15"/>
                <w:szCs w:val="15"/>
                <w:color w:val="auto"/>
              </w:rPr>
              <w:t>with Middleby and its principal subsidiary, Middleby Marshall Inc. (“MM”), including Vice President and Chief Financial Officer of</w:t>
            </w:r>
          </w:p>
        </w:tc>
        <w:tc>
          <w:tcPr>
            <w:tcW w:w="0" w:type="dxa"/>
            <w:vAlign w:val="bottom"/>
          </w:tcPr>
          <w:p>
            <w:pPr>
              <w:spacing w:after="0"/>
              <w:rPr>
                <w:sz w:val="1"/>
                <w:szCs w:val="1"/>
                <w:color w:val="auto"/>
              </w:rPr>
            </w:pPr>
          </w:p>
        </w:tc>
      </w:tr>
      <w:tr>
        <w:trPr>
          <w:trHeight w:val="164"/>
        </w:trPr>
        <w:tc>
          <w:tcPr>
            <w:tcW w:w="2000" w:type="dxa"/>
            <w:vAlign w:val="bottom"/>
            <w:vMerge w:val="restart"/>
            <w:shd w:val="clear" w:color="auto" w:fill="E5ECF1"/>
          </w:tcPr>
          <w:p>
            <w:pPr>
              <w:ind w:left="80"/>
              <w:spacing w:after="0"/>
              <w:rPr>
                <w:sz w:val="20"/>
                <w:szCs w:val="20"/>
                <w:color w:val="auto"/>
              </w:rPr>
            </w:pPr>
            <w:r>
              <w:rPr>
                <w:rFonts w:ascii="Arial" w:cs="Arial" w:eastAsia="Arial" w:hAnsi="Arial"/>
                <w:sz w:val="15"/>
                <w:szCs w:val="15"/>
                <w:b w:val="1"/>
                <w:bCs w:val="1"/>
                <w:color w:val="00304D"/>
              </w:rPr>
              <w:t>Committees:</w:t>
            </w:r>
          </w:p>
        </w:tc>
        <w:tc>
          <w:tcPr>
            <w:tcW w:w="9240" w:type="dxa"/>
            <w:vAlign w:val="bottom"/>
          </w:tcPr>
          <w:p>
            <w:pPr>
              <w:ind w:left="80"/>
              <w:spacing w:after="0" w:line="164" w:lineRule="exact"/>
              <w:rPr>
                <w:sz w:val="20"/>
                <w:szCs w:val="20"/>
                <w:color w:val="auto"/>
              </w:rPr>
            </w:pPr>
            <w:r>
              <w:rPr>
                <w:rFonts w:ascii="Arial" w:cs="Arial" w:eastAsia="Arial" w:hAnsi="Arial"/>
                <w:sz w:val="15"/>
                <w:szCs w:val="15"/>
                <w:color w:val="auto"/>
              </w:rPr>
              <w:t>Middleby and MM from 2003 to 2019; and Corporate Controller of Middleby and MM from 1998 to 2003. Before joining Middleby, Mr.</w:t>
            </w:r>
          </w:p>
        </w:tc>
        <w:tc>
          <w:tcPr>
            <w:tcW w:w="0" w:type="dxa"/>
            <w:vAlign w:val="bottom"/>
          </w:tcPr>
          <w:p>
            <w:pPr>
              <w:spacing w:after="0"/>
              <w:rPr>
                <w:sz w:val="1"/>
                <w:szCs w:val="1"/>
                <w:color w:val="auto"/>
              </w:rPr>
            </w:pPr>
          </w:p>
        </w:tc>
      </w:tr>
      <w:tr>
        <w:trPr>
          <w:trHeight w:val="151"/>
        </w:trPr>
        <w:tc>
          <w:tcPr>
            <w:tcW w:w="2000" w:type="dxa"/>
            <w:vAlign w:val="bottom"/>
            <w:vMerge w:val="continue"/>
            <w:shd w:val="clear" w:color="auto" w:fill="E5ECF1"/>
          </w:tcPr>
          <w:p>
            <w:pPr>
              <w:spacing w:after="0"/>
              <w:rPr>
                <w:sz w:val="13"/>
                <w:szCs w:val="13"/>
                <w:color w:val="auto"/>
              </w:rPr>
            </w:pPr>
          </w:p>
        </w:tc>
        <w:tc>
          <w:tcPr>
            <w:tcW w:w="9240" w:type="dxa"/>
            <w:vAlign w:val="bottom"/>
          </w:tcPr>
          <w:p>
            <w:pPr>
              <w:ind w:left="80"/>
              <w:spacing w:after="0" w:line="151" w:lineRule="exact"/>
              <w:rPr>
                <w:sz w:val="20"/>
                <w:szCs w:val="20"/>
                <w:color w:val="auto"/>
              </w:rPr>
            </w:pPr>
            <w:r>
              <w:rPr>
                <w:rFonts w:ascii="Arial" w:cs="Arial" w:eastAsia="Arial" w:hAnsi="Arial"/>
                <w:sz w:val="15"/>
                <w:szCs w:val="15"/>
                <w:color w:val="auto"/>
              </w:rPr>
              <w:t>FitzGerald was a manager with Arthur Anderson LLP for seven years providing transaction advisory, business consulting and audit</w:t>
            </w:r>
          </w:p>
        </w:tc>
        <w:tc>
          <w:tcPr>
            <w:tcW w:w="0" w:type="dxa"/>
            <w:vAlign w:val="bottom"/>
          </w:tcPr>
          <w:p>
            <w:pPr>
              <w:spacing w:after="0"/>
              <w:rPr>
                <w:sz w:val="1"/>
                <w:szCs w:val="1"/>
                <w:color w:val="auto"/>
              </w:rPr>
            </w:pPr>
          </w:p>
        </w:tc>
      </w:tr>
      <w:tr>
        <w:trPr>
          <w:trHeight w:val="177"/>
        </w:trPr>
        <w:tc>
          <w:tcPr>
            <w:tcW w:w="2000" w:type="dxa"/>
            <w:vAlign w:val="bottom"/>
            <w:shd w:val="clear" w:color="auto" w:fill="E5ECF1"/>
          </w:tcPr>
          <w:p>
            <w:pPr>
              <w:ind w:left="80"/>
              <w:spacing w:after="0"/>
              <w:rPr>
                <w:sz w:val="20"/>
                <w:szCs w:val="20"/>
                <w:color w:val="auto"/>
              </w:rPr>
            </w:pPr>
            <w:r>
              <w:rPr>
                <w:rFonts w:ascii="Arial" w:cs="Arial" w:eastAsia="Arial" w:hAnsi="Arial"/>
                <w:sz w:val="15"/>
                <w:szCs w:val="15"/>
                <w:color w:val="265E7C"/>
              </w:rPr>
              <w:t xml:space="preserve">•  </w:t>
            </w:r>
            <w:r>
              <w:rPr>
                <w:rFonts w:ascii="Arial" w:cs="Arial" w:eastAsia="Arial" w:hAnsi="Arial"/>
                <w:sz w:val="15"/>
                <w:szCs w:val="15"/>
                <w:color w:val="00304D"/>
              </w:rPr>
              <w:t>None</w:t>
            </w:r>
          </w:p>
        </w:tc>
        <w:tc>
          <w:tcPr>
            <w:tcW w:w="9240" w:type="dxa"/>
            <w:vAlign w:val="bottom"/>
            <w:vMerge w:val="restart"/>
          </w:tcPr>
          <w:p>
            <w:pPr>
              <w:ind w:left="80"/>
              <w:spacing w:after="0"/>
              <w:rPr>
                <w:sz w:val="20"/>
                <w:szCs w:val="20"/>
                <w:color w:val="auto"/>
              </w:rPr>
            </w:pPr>
            <w:r>
              <w:rPr>
                <w:rFonts w:ascii="Arial" w:cs="Arial" w:eastAsia="Arial" w:hAnsi="Arial"/>
                <w:sz w:val="15"/>
                <w:szCs w:val="15"/>
                <w:color w:val="auto"/>
              </w:rPr>
              <w:t>services.</w:t>
            </w:r>
          </w:p>
        </w:tc>
        <w:tc>
          <w:tcPr>
            <w:tcW w:w="0" w:type="dxa"/>
            <w:vAlign w:val="bottom"/>
          </w:tcPr>
          <w:p>
            <w:pPr>
              <w:spacing w:after="0"/>
              <w:rPr>
                <w:sz w:val="1"/>
                <w:szCs w:val="1"/>
                <w:color w:val="auto"/>
              </w:rPr>
            </w:pPr>
          </w:p>
        </w:tc>
      </w:tr>
      <w:tr>
        <w:trPr>
          <w:trHeight w:val="48"/>
        </w:trPr>
        <w:tc>
          <w:tcPr>
            <w:tcW w:w="2000" w:type="dxa"/>
            <w:vAlign w:val="bottom"/>
            <w:shd w:val="clear" w:color="auto" w:fill="E5ECF1"/>
          </w:tcPr>
          <w:p>
            <w:pPr>
              <w:spacing w:after="0"/>
              <w:rPr>
                <w:sz w:val="4"/>
                <w:szCs w:val="4"/>
                <w:color w:val="auto"/>
              </w:rPr>
            </w:pPr>
          </w:p>
        </w:tc>
        <w:tc>
          <w:tcPr>
            <w:tcW w:w="9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000" w:type="dxa"/>
            <w:vAlign w:val="bottom"/>
            <w:tcBorders>
              <w:bottom w:val="single" w:sz="8" w:color="002F4D"/>
            </w:tcBorders>
            <w:shd w:val="clear" w:color="auto" w:fill="E5ECF1"/>
          </w:tcPr>
          <w:p>
            <w:pPr>
              <w:spacing w:after="0"/>
              <w:rPr>
                <w:sz w:val="12"/>
                <w:szCs w:val="12"/>
                <w:color w:val="auto"/>
              </w:rPr>
            </w:pPr>
          </w:p>
        </w:tc>
        <w:tc>
          <w:tcPr>
            <w:tcW w:w="9240" w:type="dxa"/>
            <w:vAlign w:val="bottom"/>
            <w:tcBorders>
              <w:bottom w:val="single" w:sz="8" w:color="002F4D"/>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0304D"/>
        </w:rPr>
        <w:t>Service on other public boards</w:t>
      </w:r>
    </w:p>
    <w:p>
      <w:pPr>
        <w:spacing w:after="0" w:line="18" w:lineRule="exact"/>
        <w:rPr>
          <w:sz w:val="20"/>
          <w:szCs w:val="20"/>
          <w:color w:val="auto"/>
        </w:rPr>
      </w:pPr>
    </w:p>
    <w:p>
      <w:pPr>
        <w:ind w:left="260" w:hanging="175"/>
        <w:spacing w:after="0"/>
        <w:tabs>
          <w:tab w:leader="none" w:pos="260" w:val="left"/>
        </w:tabs>
        <w:numPr>
          <w:ilvl w:val="0"/>
          <w:numId w:val="11"/>
        </w:numPr>
        <w:rPr>
          <w:rFonts w:ascii="Arial" w:cs="Arial" w:eastAsia="Arial" w:hAnsi="Arial"/>
          <w:sz w:val="15"/>
          <w:szCs w:val="15"/>
          <w:color w:val="265E7C"/>
        </w:rPr>
      </w:pPr>
      <w:r>
        <w:rPr>
          <w:rFonts w:ascii="Arial" w:cs="Arial" w:eastAsia="Arial" w:hAnsi="Arial"/>
          <w:sz w:val="15"/>
          <w:szCs w:val="15"/>
          <w:color w:val="auto"/>
        </w:rPr>
        <w:t>Alliance Laundry Holdings Inc., a manufacturer of commercial and residential laundry equipment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71412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46"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0304D"/>
        </w:rPr>
        <w:t>Relevant skills</w:t>
      </w:r>
    </w:p>
    <w:p>
      <w:pPr>
        <w:spacing w:after="0" w:line="18" w:lineRule="exact"/>
        <w:rPr>
          <w:sz w:val="20"/>
          <w:szCs w:val="20"/>
          <w:color w:val="auto"/>
        </w:rPr>
      </w:pPr>
    </w:p>
    <w:p>
      <w:pPr>
        <w:jc w:val="both"/>
        <w:ind w:left="80" w:right="80"/>
        <w:spacing w:after="0" w:line="251" w:lineRule="auto"/>
        <w:rPr>
          <w:sz w:val="20"/>
          <w:szCs w:val="20"/>
          <w:color w:val="auto"/>
        </w:rPr>
      </w:pPr>
      <w:r>
        <w:rPr>
          <w:rFonts w:ascii="Arial" w:cs="Arial" w:eastAsia="Arial" w:hAnsi="Arial"/>
          <w:sz w:val="15"/>
          <w:szCs w:val="15"/>
          <w:color w:val="auto"/>
        </w:rPr>
        <w:t>Mr. FitzGerald’s extensive history at the subsidiary and corporate level of the Company and his day to day leadership as CEO provide the Board with intimate knowledge and an invaluable perspective regarding Middleby’s sales activities, products, operations, risk management, and business strategy. Mr. FitzGerald has extensive mergers and acquisitions experience leading the company’s business development activities since joining the company in 1998. Mr. FitzGerald also has extensive international experience, developing Middleby’s global sales and distribution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7141210" cy="1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17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9" w:name="page20"/>
    <w:bookmarkEnd w:id="19"/>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00304D"/>
        </w:rPr>
        <w:t>Edward P. Garden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7141210" cy="11061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1210" cy="1106170"/>
                    </a:xfrm>
                    <a:prstGeom prst="rect">
                      <a:avLst/>
                    </a:prstGeom>
                    <a:noFill/>
                  </pic:spPr>
                </pic:pic>
              </a:graphicData>
            </a:graphic>
          </wp:anchor>
        </w:drawing>
      </w: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540" w:type="dxa"/>
            <w:vAlign w:val="bottom"/>
          </w:tcPr>
          <w:p>
            <w:pPr>
              <w:spacing w:after="0"/>
              <w:rPr>
                <w:sz w:val="20"/>
                <w:szCs w:val="20"/>
                <w:color w:val="auto"/>
              </w:rPr>
            </w:pPr>
            <w:r>
              <w:rPr>
                <w:rFonts w:ascii="Arial" w:cs="Arial" w:eastAsia="Arial" w:hAnsi="Arial"/>
                <w:sz w:val="15"/>
                <w:szCs w:val="15"/>
                <w:b w:val="1"/>
                <w:bCs w:val="1"/>
                <w:color w:val="00304D"/>
              </w:rPr>
              <w:t>Age: 64</w:t>
            </w:r>
          </w:p>
        </w:tc>
        <w:tc>
          <w:tcPr>
            <w:tcW w:w="9540" w:type="dxa"/>
            <w:vAlign w:val="bottom"/>
          </w:tcPr>
          <w:p>
            <w:pPr>
              <w:ind w:left="460"/>
              <w:spacing w:after="0"/>
              <w:rPr>
                <w:sz w:val="20"/>
                <w:szCs w:val="20"/>
                <w:color w:val="auto"/>
              </w:rPr>
            </w:pPr>
            <w:r>
              <w:rPr>
                <w:rFonts w:ascii="Arial" w:cs="Arial" w:eastAsia="Arial" w:hAnsi="Arial"/>
                <w:sz w:val="15"/>
                <w:szCs w:val="15"/>
                <w:b w:val="1"/>
                <w:bCs w:val="1"/>
                <w:color w:val="00304D"/>
              </w:rPr>
              <w:t>Professional background</w:t>
            </w:r>
          </w:p>
        </w:tc>
        <w:tc>
          <w:tcPr>
            <w:tcW w:w="0" w:type="dxa"/>
            <w:vAlign w:val="bottom"/>
          </w:tcPr>
          <w:p>
            <w:pPr>
              <w:spacing w:after="0"/>
              <w:rPr>
                <w:sz w:val="1"/>
                <w:szCs w:val="1"/>
                <w:color w:val="auto"/>
              </w:rPr>
            </w:pPr>
          </w:p>
        </w:tc>
      </w:tr>
      <w:tr>
        <w:trPr>
          <w:trHeight w:val="209"/>
        </w:trPr>
        <w:tc>
          <w:tcPr>
            <w:tcW w:w="1540" w:type="dxa"/>
            <w:vAlign w:val="bottom"/>
          </w:tcPr>
          <w:p>
            <w:pPr>
              <w:spacing w:after="0"/>
              <w:rPr>
                <w:sz w:val="20"/>
                <w:szCs w:val="20"/>
                <w:color w:val="auto"/>
              </w:rPr>
            </w:pPr>
            <w:r>
              <w:rPr>
                <w:rFonts w:ascii="Arial" w:cs="Arial" w:eastAsia="Arial" w:hAnsi="Arial"/>
                <w:sz w:val="15"/>
                <w:szCs w:val="15"/>
                <w:b w:val="1"/>
                <w:bCs w:val="1"/>
                <w:color w:val="00304D"/>
              </w:rPr>
              <w:t>Director</w:t>
            </w:r>
          </w:p>
        </w:tc>
        <w:tc>
          <w:tcPr>
            <w:tcW w:w="9540" w:type="dxa"/>
            <w:vAlign w:val="bottom"/>
          </w:tcPr>
          <w:p>
            <w:pPr>
              <w:ind w:left="460"/>
              <w:spacing w:after="0"/>
              <w:rPr>
                <w:sz w:val="20"/>
                <w:szCs w:val="20"/>
                <w:color w:val="auto"/>
              </w:rPr>
            </w:pPr>
            <w:r>
              <w:rPr>
                <w:rFonts w:ascii="Arial" w:cs="Arial" w:eastAsia="Arial" w:hAnsi="Arial"/>
                <w:sz w:val="15"/>
                <w:szCs w:val="15"/>
                <w:color w:val="auto"/>
              </w:rPr>
              <w:t>Mr. Garden is the Founding Partner and CEO of Garden Investments. From 2005 to 2023, he served as Chief Investment Officer and</w:t>
            </w:r>
          </w:p>
        </w:tc>
        <w:tc>
          <w:tcPr>
            <w:tcW w:w="0" w:type="dxa"/>
            <w:vAlign w:val="bottom"/>
          </w:tcPr>
          <w:p>
            <w:pPr>
              <w:spacing w:after="0"/>
              <w:rPr>
                <w:sz w:val="1"/>
                <w:szCs w:val="1"/>
                <w:color w:val="auto"/>
              </w:rPr>
            </w:pPr>
          </w:p>
        </w:tc>
      </w:tr>
      <w:tr>
        <w:trPr>
          <w:trHeight w:val="177"/>
        </w:trPr>
        <w:tc>
          <w:tcPr>
            <w:tcW w:w="1540" w:type="dxa"/>
            <w:vAlign w:val="bottom"/>
          </w:tcPr>
          <w:p>
            <w:pPr>
              <w:spacing w:after="0"/>
              <w:rPr>
                <w:sz w:val="20"/>
                <w:szCs w:val="20"/>
                <w:color w:val="auto"/>
              </w:rPr>
            </w:pPr>
            <w:r>
              <w:rPr>
                <w:rFonts w:ascii="Arial" w:cs="Arial" w:eastAsia="Arial" w:hAnsi="Arial"/>
                <w:sz w:val="15"/>
                <w:szCs w:val="15"/>
                <w:b w:val="1"/>
                <w:bCs w:val="1"/>
                <w:color w:val="00304D"/>
              </w:rPr>
              <w:t xml:space="preserve">since: </w:t>
            </w:r>
            <w:r>
              <w:rPr>
                <w:rFonts w:ascii="Arial" w:cs="Arial" w:eastAsia="Arial" w:hAnsi="Arial"/>
                <w:sz w:val="15"/>
                <w:szCs w:val="15"/>
                <w:b w:val="1"/>
                <w:bCs w:val="1"/>
                <w:color w:val="265E7C"/>
              </w:rPr>
              <w:t>2025</w:t>
            </w:r>
          </w:p>
        </w:tc>
        <w:tc>
          <w:tcPr>
            <w:tcW w:w="9540" w:type="dxa"/>
            <w:vAlign w:val="bottom"/>
          </w:tcPr>
          <w:p>
            <w:pPr>
              <w:ind w:left="460"/>
              <w:spacing w:after="0"/>
              <w:rPr>
                <w:sz w:val="20"/>
                <w:szCs w:val="20"/>
                <w:color w:val="auto"/>
              </w:rPr>
            </w:pPr>
            <w:r>
              <w:rPr>
                <w:rFonts w:ascii="Arial" w:cs="Arial" w:eastAsia="Arial" w:hAnsi="Arial"/>
                <w:sz w:val="15"/>
                <w:szCs w:val="15"/>
                <w:color w:val="auto"/>
              </w:rPr>
              <w:t>Founding Partner of Trian Fund Management. Prior to founding Trian, Ed was Vice Chairman and Director of Triarc Companies</w:t>
            </w:r>
          </w:p>
        </w:tc>
        <w:tc>
          <w:tcPr>
            <w:tcW w:w="0" w:type="dxa"/>
            <w:vAlign w:val="bottom"/>
          </w:tcPr>
          <w:p>
            <w:pPr>
              <w:spacing w:after="0"/>
              <w:rPr>
                <w:sz w:val="1"/>
                <w:szCs w:val="1"/>
                <w:color w:val="auto"/>
              </w:rPr>
            </w:pPr>
          </w:p>
        </w:tc>
      </w:tr>
      <w:tr>
        <w:trPr>
          <w:trHeight w:val="164"/>
        </w:trPr>
        <w:tc>
          <w:tcPr>
            <w:tcW w:w="1540" w:type="dxa"/>
            <w:vAlign w:val="bottom"/>
            <w:vMerge w:val="restart"/>
          </w:tcPr>
          <w:p>
            <w:pPr>
              <w:spacing w:after="0"/>
              <w:rPr>
                <w:sz w:val="20"/>
                <w:szCs w:val="20"/>
                <w:color w:val="auto"/>
              </w:rPr>
            </w:pPr>
            <w:r>
              <w:rPr>
                <w:rFonts w:ascii="Arial" w:cs="Arial" w:eastAsia="Arial" w:hAnsi="Arial"/>
                <w:sz w:val="15"/>
                <w:szCs w:val="15"/>
                <w:b w:val="1"/>
                <w:bCs w:val="1"/>
                <w:i w:val="1"/>
                <w:iCs w:val="1"/>
                <w:color w:val="265E7C"/>
              </w:rPr>
              <w:t>INDEPENDENT</w:t>
            </w:r>
          </w:p>
        </w:tc>
        <w:tc>
          <w:tcPr>
            <w:tcW w:w="9540" w:type="dxa"/>
            <w:vAlign w:val="bottom"/>
          </w:tcPr>
          <w:p>
            <w:pPr>
              <w:ind w:left="460"/>
              <w:spacing w:after="0" w:line="164" w:lineRule="exact"/>
              <w:rPr>
                <w:sz w:val="20"/>
                <w:szCs w:val="20"/>
                <w:color w:val="auto"/>
              </w:rPr>
            </w:pPr>
            <w:r>
              <w:rPr>
                <w:rFonts w:ascii="Arial" w:cs="Arial" w:eastAsia="Arial" w:hAnsi="Arial"/>
                <w:sz w:val="15"/>
                <w:szCs w:val="15"/>
                <w:color w:val="auto"/>
              </w:rPr>
              <w:t>(subsequently The Wendy’s Company and previously Wendy’s/Arby’s Group). Earlier in his career Ed was a Managing Director at</w:t>
            </w:r>
          </w:p>
        </w:tc>
        <w:tc>
          <w:tcPr>
            <w:tcW w:w="0" w:type="dxa"/>
            <w:vAlign w:val="bottom"/>
          </w:tcPr>
          <w:p>
            <w:pPr>
              <w:spacing w:after="0"/>
              <w:rPr>
                <w:sz w:val="1"/>
                <w:szCs w:val="1"/>
                <w:color w:val="auto"/>
              </w:rPr>
            </w:pPr>
          </w:p>
        </w:tc>
      </w:tr>
      <w:tr>
        <w:trPr>
          <w:trHeight w:val="177"/>
        </w:trPr>
        <w:tc>
          <w:tcPr>
            <w:tcW w:w="1540" w:type="dxa"/>
            <w:vAlign w:val="bottom"/>
            <w:vMerge w:val="continue"/>
          </w:tcPr>
          <w:p>
            <w:pPr>
              <w:spacing w:after="0"/>
              <w:rPr>
                <w:sz w:val="15"/>
                <w:szCs w:val="15"/>
                <w:color w:val="auto"/>
              </w:rPr>
            </w:pPr>
          </w:p>
        </w:tc>
        <w:tc>
          <w:tcPr>
            <w:tcW w:w="9540" w:type="dxa"/>
            <w:vAlign w:val="bottom"/>
          </w:tcPr>
          <w:p>
            <w:pPr>
              <w:ind w:left="460"/>
              <w:spacing w:after="0"/>
              <w:rPr>
                <w:sz w:val="20"/>
                <w:szCs w:val="20"/>
                <w:color w:val="auto"/>
              </w:rPr>
            </w:pPr>
            <w:r>
              <w:rPr>
                <w:rFonts w:ascii="Arial" w:cs="Arial" w:eastAsia="Arial" w:hAnsi="Arial"/>
                <w:sz w:val="15"/>
                <w:szCs w:val="15"/>
                <w:color w:val="auto"/>
              </w:rPr>
              <w:t>Credit Suisse First Boston, where he served as a senior investment banker, and BT Alex Brown, where he was co-head of Equity</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5"/>
                <w:szCs w:val="15"/>
                <w:b w:val="1"/>
                <w:bCs w:val="1"/>
                <w:color w:val="00304D"/>
              </w:rPr>
              <w:t>Committees:</w:t>
            </w:r>
          </w:p>
        </w:tc>
        <w:tc>
          <w:tcPr>
            <w:tcW w:w="9540" w:type="dxa"/>
            <w:vAlign w:val="bottom"/>
          </w:tcPr>
          <w:p>
            <w:pPr>
              <w:ind w:left="460"/>
              <w:spacing w:after="0"/>
              <w:rPr>
                <w:sz w:val="20"/>
                <w:szCs w:val="20"/>
                <w:color w:val="auto"/>
              </w:rPr>
            </w:pPr>
            <w:r>
              <w:rPr>
                <w:rFonts w:ascii="Arial" w:cs="Arial" w:eastAsia="Arial" w:hAnsi="Arial"/>
                <w:sz w:val="15"/>
                <w:szCs w:val="15"/>
                <w:color w:val="auto"/>
              </w:rPr>
              <w:t>Capital Markets.</w:t>
            </w:r>
          </w:p>
        </w:tc>
        <w:tc>
          <w:tcPr>
            <w:tcW w:w="0" w:type="dxa"/>
            <w:vAlign w:val="bottom"/>
          </w:tcPr>
          <w:p>
            <w:pPr>
              <w:spacing w:after="0"/>
              <w:rPr>
                <w:sz w:val="1"/>
                <w:szCs w:val="1"/>
                <w:color w:val="auto"/>
              </w:rPr>
            </w:pPr>
          </w:p>
        </w:tc>
      </w:tr>
    </w:tbl>
    <w:p>
      <w:pPr>
        <w:ind w:left="260" w:hanging="175"/>
        <w:spacing w:after="0"/>
        <w:tabs>
          <w:tab w:leader="none" w:pos="260" w:val="left"/>
        </w:tabs>
        <w:numPr>
          <w:ilvl w:val="0"/>
          <w:numId w:val="12"/>
        </w:numPr>
        <w:rPr>
          <w:rFonts w:ascii="Arial" w:cs="Arial" w:eastAsia="Arial" w:hAnsi="Arial"/>
          <w:sz w:val="15"/>
          <w:szCs w:val="15"/>
          <w:color w:val="265E7C"/>
        </w:rPr>
      </w:pPr>
      <w:r>
        <w:rPr>
          <w:rFonts w:ascii="Arial" w:cs="Arial" w:eastAsia="Arial" w:hAnsi="Arial"/>
          <w:sz w:val="15"/>
          <w:szCs w:val="15"/>
          <w:color w:val="00304D"/>
        </w:rPr>
        <w:t>Compensation</w:t>
      </w:r>
    </w:p>
    <w:p>
      <w:pPr>
        <w:spacing w:after="0" w:line="25" w:lineRule="exact"/>
        <w:rPr>
          <w:rFonts w:ascii="Arial" w:cs="Arial" w:eastAsia="Arial" w:hAnsi="Arial"/>
          <w:sz w:val="15"/>
          <w:szCs w:val="15"/>
          <w:color w:val="265E7C"/>
        </w:rPr>
      </w:pPr>
    </w:p>
    <w:p>
      <w:pPr>
        <w:ind w:left="260" w:right="9380" w:hanging="175"/>
        <w:spacing w:after="0" w:line="269" w:lineRule="auto"/>
        <w:tabs>
          <w:tab w:leader="none" w:pos="260" w:val="left"/>
        </w:tabs>
        <w:numPr>
          <w:ilvl w:val="0"/>
          <w:numId w:val="12"/>
        </w:numPr>
        <w:rPr>
          <w:rFonts w:ascii="Arial" w:cs="Arial" w:eastAsia="Arial" w:hAnsi="Arial"/>
          <w:sz w:val="15"/>
          <w:szCs w:val="15"/>
          <w:color w:val="265E7C"/>
        </w:rPr>
      </w:pPr>
      <w:r>
        <w:rPr>
          <w:rFonts w:ascii="Arial" w:cs="Arial" w:eastAsia="Arial" w:hAnsi="Arial"/>
          <w:sz w:val="15"/>
          <w:szCs w:val="15"/>
          <w:color w:val="00304D"/>
        </w:rPr>
        <w:t>Nominating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71412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5"/>
          <w:szCs w:val="15"/>
          <w:b w:val="1"/>
          <w:bCs w:val="1"/>
          <w:color w:val="00304D"/>
        </w:rPr>
        <w:t>Service on other public boards</w:t>
      </w:r>
    </w:p>
    <w:p>
      <w:pPr>
        <w:spacing w:after="0" w:line="18" w:lineRule="exact"/>
        <w:rPr>
          <w:sz w:val="20"/>
          <w:szCs w:val="20"/>
          <w:color w:val="auto"/>
        </w:rPr>
      </w:pPr>
    </w:p>
    <w:p>
      <w:pPr>
        <w:ind w:left="260" w:hanging="175"/>
        <w:spacing w:after="0"/>
        <w:tabs>
          <w:tab w:leader="none" w:pos="260" w:val="left"/>
        </w:tabs>
        <w:numPr>
          <w:ilvl w:val="0"/>
          <w:numId w:val="13"/>
        </w:numPr>
        <w:rPr>
          <w:rFonts w:ascii="Arial" w:cs="Arial" w:eastAsia="Arial" w:hAnsi="Arial"/>
          <w:sz w:val="15"/>
          <w:szCs w:val="15"/>
          <w:color w:val="265E7C"/>
        </w:rPr>
      </w:pPr>
      <w:r>
        <w:rPr>
          <w:rFonts w:ascii="Arial" w:cs="Arial" w:eastAsia="Arial" w:hAnsi="Arial"/>
          <w:sz w:val="15"/>
          <w:szCs w:val="15"/>
          <w:color w:val="00304D"/>
        </w:rPr>
        <w:t>Fortune Brands Innovations (since 2026)</w:t>
      </w:r>
    </w:p>
    <w:p>
      <w:pPr>
        <w:spacing w:after="0" w:line="25" w:lineRule="exact"/>
        <w:rPr>
          <w:rFonts w:ascii="Arial" w:cs="Arial" w:eastAsia="Arial" w:hAnsi="Arial"/>
          <w:sz w:val="15"/>
          <w:szCs w:val="15"/>
          <w:color w:val="265E7C"/>
        </w:rPr>
      </w:pPr>
    </w:p>
    <w:p>
      <w:pPr>
        <w:ind w:left="260" w:hanging="175"/>
        <w:spacing w:after="0"/>
        <w:tabs>
          <w:tab w:leader="none" w:pos="260" w:val="left"/>
        </w:tabs>
        <w:numPr>
          <w:ilvl w:val="0"/>
          <w:numId w:val="13"/>
        </w:numPr>
        <w:rPr>
          <w:rFonts w:ascii="Arial" w:cs="Arial" w:eastAsia="Arial" w:hAnsi="Arial"/>
          <w:sz w:val="15"/>
          <w:szCs w:val="15"/>
          <w:color w:val="265E7C"/>
        </w:rPr>
      </w:pPr>
      <w:r>
        <w:rPr>
          <w:rFonts w:ascii="Arial" w:cs="Arial" w:eastAsia="Arial" w:hAnsi="Arial"/>
          <w:sz w:val="15"/>
          <w:szCs w:val="15"/>
          <w:color w:val="00304D"/>
        </w:rPr>
        <w:t>General Electric Company doing business as GE Aerospace (since 2017)</w:t>
      </w:r>
    </w:p>
    <w:p>
      <w:pPr>
        <w:spacing w:after="0" w:line="8" w:lineRule="exact"/>
        <w:rPr>
          <w:rFonts w:ascii="Arial" w:cs="Arial" w:eastAsia="Arial" w:hAnsi="Arial"/>
          <w:sz w:val="15"/>
          <w:szCs w:val="15"/>
          <w:color w:val="265E7C"/>
        </w:rPr>
      </w:pPr>
    </w:p>
    <w:p>
      <w:pPr>
        <w:ind w:left="260" w:hanging="175"/>
        <w:spacing w:after="0"/>
        <w:tabs>
          <w:tab w:leader="none" w:pos="260" w:val="left"/>
        </w:tabs>
        <w:numPr>
          <w:ilvl w:val="0"/>
          <w:numId w:val="13"/>
        </w:numPr>
        <w:rPr>
          <w:rFonts w:ascii="Arial" w:cs="Arial" w:eastAsia="Arial" w:hAnsi="Arial"/>
          <w:sz w:val="15"/>
          <w:szCs w:val="15"/>
          <w:color w:val="265E7C"/>
        </w:rPr>
      </w:pPr>
      <w:r>
        <w:rPr>
          <w:rFonts w:ascii="Arial" w:cs="Arial" w:eastAsia="Arial" w:hAnsi="Arial"/>
          <w:sz w:val="15"/>
          <w:szCs w:val="15"/>
          <w:color w:val="00304D"/>
        </w:rPr>
        <w:t>Janus Henderson Group (2022-2023)</w:t>
      </w:r>
    </w:p>
    <w:p>
      <w:pPr>
        <w:spacing w:after="0" w:line="12" w:lineRule="exact"/>
        <w:rPr>
          <w:rFonts w:ascii="Arial" w:cs="Arial" w:eastAsia="Arial" w:hAnsi="Arial"/>
          <w:sz w:val="15"/>
          <w:szCs w:val="15"/>
          <w:color w:val="265E7C"/>
        </w:rPr>
      </w:pPr>
    </w:p>
    <w:p>
      <w:pPr>
        <w:ind w:left="260" w:hanging="175"/>
        <w:spacing w:after="0"/>
        <w:tabs>
          <w:tab w:leader="none" w:pos="260" w:val="left"/>
        </w:tabs>
        <w:numPr>
          <w:ilvl w:val="0"/>
          <w:numId w:val="13"/>
        </w:numPr>
        <w:rPr>
          <w:rFonts w:ascii="Arial" w:cs="Arial" w:eastAsia="Arial" w:hAnsi="Arial"/>
          <w:sz w:val="15"/>
          <w:szCs w:val="15"/>
          <w:color w:val="265E7C"/>
        </w:rPr>
      </w:pPr>
      <w:r>
        <w:rPr>
          <w:rFonts w:ascii="Arial" w:cs="Arial" w:eastAsia="Arial" w:hAnsi="Arial"/>
          <w:sz w:val="15"/>
          <w:szCs w:val="15"/>
          <w:color w:val="00304D"/>
        </w:rPr>
        <w:t>Invesco Ltd. (2020-2022)</w:t>
      </w:r>
    </w:p>
    <w:p>
      <w:pPr>
        <w:spacing w:after="0" w:line="16" w:lineRule="exact"/>
        <w:rPr>
          <w:rFonts w:ascii="Arial" w:cs="Arial" w:eastAsia="Arial" w:hAnsi="Arial"/>
          <w:sz w:val="15"/>
          <w:szCs w:val="15"/>
          <w:color w:val="265E7C"/>
        </w:rPr>
      </w:pPr>
    </w:p>
    <w:p>
      <w:pPr>
        <w:ind w:left="260" w:hanging="175"/>
        <w:spacing w:after="0"/>
        <w:tabs>
          <w:tab w:leader="none" w:pos="260" w:val="left"/>
        </w:tabs>
        <w:numPr>
          <w:ilvl w:val="0"/>
          <w:numId w:val="13"/>
        </w:numPr>
        <w:rPr>
          <w:rFonts w:ascii="Arial" w:cs="Arial" w:eastAsia="Arial" w:hAnsi="Arial"/>
          <w:sz w:val="15"/>
          <w:szCs w:val="15"/>
          <w:color w:val="265E7C"/>
        </w:rPr>
      </w:pPr>
      <w:r>
        <w:rPr>
          <w:rFonts w:ascii="Arial" w:cs="Arial" w:eastAsia="Arial" w:hAnsi="Arial"/>
          <w:sz w:val="15"/>
          <w:szCs w:val="15"/>
          <w:color w:val="00304D"/>
        </w:rPr>
        <w:t>Legg Mason, Inc. (2019-2020)</w:t>
      </w:r>
    </w:p>
    <w:p>
      <w:pPr>
        <w:spacing w:after="0" w:line="8" w:lineRule="exact"/>
        <w:rPr>
          <w:rFonts w:ascii="Arial" w:cs="Arial" w:eastAsia="Arial" w:hAnsi="Arial"/>
          <w:sz w:val="15"/>
          <w:szCs w:val="15"/>
          <w:color w:val="265E7C"/>
        </w:rPr>
      </w:pPr>
    </w:p>
    <w:p>
      <w:pPr>
        <w:ind w:left="260" w:hanging="175"/>
        <w:spacing w:after="0"/>
        <w:tabs>
          <w:tab w:leader="none" w:pos="260" w:val="left"/>
        </w:tabs>
        <w:numPr>
          <w:ilvl w:val="0"/>
          <w:numId w:val="13"/>
        </w:numPr>
        <w:rPr>
          <w:rFonts w:ascii="Arial" w:cs="Arial" w:eastAsia="Arial" w:hAnsi="Arial"/>
          <w:sz w:val="15"/>
          <w:szCs w:val="15"/>
          <w:color w:val="265E7C"/>
        </w:rPr>
      </w:pPr>
      <w:r>
        <w:rPr>
          <w:rFonts w:ascii="Arial" w:cs="Arial" w:eastAsia="Arial" w:hAnsi="Arial"/>
          <w:sz w:val="15"/>
          <w:szCs w:val="15"/>
          <w:color w:val="00304D"/>
        </w:rPr>
        <w:t>The Bank of New York Mellon Corporation (2014-2019)</w:t>
      </w:r>
    </w:p>
    <w:p>
      <w:pPr>
        <w:spacing w:after="0" w:line="12" w:lineRule="exact"/>
        <w:rPr>
          <w:rFonts w:ascii="Arial" w:cs="Arial" w:eastAsia="Arial" w:hAnsi="Arial"/>
          <w:sz w:val="15"/>
          <w:szCs w:val="15"/>
          <w:color w:val="265E7C"/>
        </w:rPr>
      </w:pPr>
    </w:p>
    <w:p>
      <w:pPr>
        <w:ind w:left="260" w:hanging="175"/>
        <w:spacing w:after="0"/>
        <w:tabs>
          <w:tab w:leader="none" w:pos="260" w:val="left"/>
        </w:tabs>
        <w:numPr>
          <w:ilvl w:val="0"/>
          <w:numId w:val="13"/>
        </w:numPr>
        <w:rPr>
          <w:rFonts w:ascii="Arial" w:cs="Arial" w:eastAsia="Arial" w:hAnsi="Arial"/>
          <w:sz w:val="15"/>
          <w:szCs w:val="15"/>
          <w:color w:val="265E7C"/>
        </w:rPr>
      </w:pPr>
      <w:r>
        <w:rPr>
          <w:rFonts w:ascii="Arial" w:cs="Arial" w:eastAsia="Arial" w:hAnsi="Arial"/>
          <w:sz w:val="15"/>
          <w:szCs w:val="15"/>
          <w:color w:val="00304D"/>
        </w:rPr>
        <w:t>The Wendy’s Company (2004-2015)</w:t>
      </w:r>
    </w:p>
    <w:p>
      <w:pPr>
        <w:spacing w:after="0" w:line="16" w:lineRule="exact"/>
        <w:rPr>
          <w:rFonts w:ascii="Arial" w:cs="Arial" w:eastAsia="Arial" w:hAnsi="Arial"/>
          <w:sz w:val="15"/>
          <w:szCs w:val="15"/>
          <w:color w:val="265E7C"/>
        </w:rPr>
      </w:pPr>
    </w:p>
    <w:p>
      <w:pPr>
        <w:ind w:left="260" w:hanging="175"/>
        <w:spacing w:after="0"/>
        <w:tabs>
          <w:tab w:leader="none" w:pos="260" w:val="left"/>
        </w:tabs>
        <w:numPr>
          <w:ilvl w:val="0"/>
          <w:numId w:val="13"/>
        </w:numPr>
        <w:rPr>
          <w:rFonts w:ascii="Arial" w:cs="Arial" w:eastAsia="Arial" w:hAnsi="Arial"/>
          <w:sz w:val="15"/>
          <w:szCs w:val="15"/>
          <w:color w:val="265E7C"/>
        </w:rPr>
      </w:pPr>
      <w:r>
        <w:rPr>
          <w:rFonts w:ascii="Arial" w:cs="Arial" w:eastAsia="Arial" w:hAnsi="Arial"/>
          <w:sz w:val="15"/>
          <w:szCs w:val="15"/>
          <w:color w:val="00304D"/>
        </w:rPr>
        <w:t>Family Dollar Stores (2011-2015)</w:t>
      </w:r>
    </w:p>
    <w:p>
      <w:pPr>
        <w:spacing w:after="0" w:line="8" w:lineRule="exact"/>
        <w:rPr>
          <w:rFonts w:ascii="Arial" w:cs="Arial" w:eastAsia="Arial" w:hAnsi="Arial"/>
          <w:sz w:val="15"/>
          <w:szCs w:val="15"/>
          <w:color w:val="265E7C"/>
        </w:rPr>
      </w:pPr>
    </w:p>
    <w:p>
      <w:pPr>
        <w:ind w:left="260" w:hanging="175"/>
        <w:spacing w:after="0"/>
        <w:tabs>
          <w:tab w:leader="none" w:pos="260" w:val="left"/>
        </w:tabs>
        <w:numPr>
          <w:ilvl w:val="0"/>
          <w:numId w:val="13"/>
        </w:numPr>
        <w:rPr>
          <w:rFonts w:ascii="Arial" w:cs="Arial" w:eastAsia="Arial" w:hAnsi="Arial"/>
          <w:sz w:val="15"/>
          <w:szCs w:val="15"/>
          <w:color w:val="265E7C"/>
        </w:rPr>
      </w:pPr>
      <w:r>
        <w:rPr>
          <w:rFonts w:ascii="Arial" w:cs="Arial" w:eastAsia="Arial" w:hAnsi="Arial"/>
          <w:sz w:val="15"/>
          <w:szCs w:val="15"/>
          <w:color w:val="00304D"/>
        </w:rPr>
        <w:t>Pentair plc (2016-2018)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12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3"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0304D"/>
        </w:rPr>
        <w:t>Relevant skills</w:t>
      </w:r>
    </w:p>
    <w:p>
      <w:pPr>
        <w:spacing w:after="0" w:line="18" w:lineRule="exact"/>
        <w:rPr>
          <w:sz w:val="20"/>
          <w:szCs w:val="20"/>
          <w:color w:val="auto"/>
        </w:rPr>
      </w:pPr>
    </w:p>
    <w:p>
      <w:pPr>
        <w:ind w:left="80" w:right="80"/>
        <w:spacing w:after="0" w:line="263" w:lineRule="auto"/>
        <w:rPr>
          <w:sz w:val="20"/>
          <w:szCs w:val="20"/>
          <w:color w:val="auto"/>
        </w:rPr>
      </w:pPr>
      <w:r>
        <w:rPr>
          <w:rFonts w:ascii="Arial" w:cs="Arial" w:eastAsia="Arial" w:hAnsi="Arial"/>
          <w:sz w:val="15"/>
          <w:szCs w:val="15"/>
          <w:color w:val="auto"/>
        </w:rPr>
        <w:t>Mr. Garden’s significant public company board experience, extensive investment and financial expertise, as well as a strong track record of enhancing value for shareholders, provide the Board with valuable strategy and financial oversight capabilities.</w:t>
      </w:r>
    </w:p>
    <w:p>
      <w:pPr>
        <w:spacing w:after="0" w:line="12" w:lineRule="exact"/>
        <w:rPr>
          <w:sz w:val="20"/>
          <w:szCs w:val="20"/>
          <w:color w:val="auto"/>
        </w:rPr>
      </w:pPr>
    </w:p>
    <w:p>
      <w:pPr>
        <w:ind w:left="80"/>
        <w:spacing w:after="0"/>
        <w:rPr>
          <w:sz w:val="20"/>
          <w:szCs w:val="20"/>
          <w:color w:val="auto"/>
        </w:rPr>
      </w:pPr>
      <w:r>
        <w:rPr>
          <w:rFonts w:ascii="Arial" w:cs="Arial" w:eastAsia="Arial" w:hAnsi="Arial"/>
          <w:sz w:val="15"/>
          <w:szCs w:val="15"/>
          <w:color w:val="auto"/>
        </w:rPr>
        <w:t>Mr. Garden was nominated as a director pursuant to the terms of the Cooperation Agreement (as defined and described under “Cooperation Agreement”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26670</wp:posOffset>
            </wp:positionV>
            <wp:extent cx="7141210"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90" w:lineRule="exact"/>
        <w:rPr>
          <w:sz w:val="20"/>
          <w:szCs w:val="20"/>
          <w:color w:val="auto"/>
        </w:rPr>
      </w:pPr>
    </w:p>
    <w:p>
      <w:pPr>
        <w:ind w:left="300" w:hanging="299"/>
        <w:spacing w:after="0"/>
        <w:tabs>
          <w:tab w:leader="none" w:pos="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Effective March 9, 2026</w:t>
      </w:r>
    </w:p>
    <w:p>
      <w:pPr>
        <w:spacing w:after="0" w:line="16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00304D"/>
        </w:rPr>
        <w:t>Christopher M. Hix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7141210" cy="8813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1210" cy="881380"/>
                    </a:xfrm>
                    <a:prstGeom prst="rect">
                      <a:avLst/>
                    </a:prstGeom>
                    <a:noFill/>
                  </pic:spPr>
                </pic:pic>
              </a:graphicData>
            </a:graphic>
          </wp:anchor>
        </w:drawing>
      </w: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540" w:type="dxa"/>
            <w:vAlign w:val="bottom"/>
          </w:tcPr>
          <w:p>
            <w:pPr>
              <w:spacing w:after="0"/>
              <w:rPr>
                <w:sz w:val="20"/>
                <w:szCs w:val="20"/>
                <w:color w:val="auto"/>
              </w:rPr>
            </w:pPr>
            <w:r>
              <w:rPr>
                <w:rFonts w:ascii="Arial" w:cs="Arial" w:eastAsia="Arial" w:hAnsi="Arial"/>
                <w:sz w:val="15"/>
                <w:szCs w:val="15"/>
                <w:b w:val="1"/>
                <w:bCs w:val="1"/>
                <w:color w:val="00304D"/>
              </w:rPr>
              <w:t>Age: 64</w:t>
            </w:r>
          </w:p>
        </w:tc>
        <w:tc>
          <w:tcPr>
            <w:tcW w:w="9540" w:type="dxa"/>
            <w:vAlign w:val="bottom"/>
          </w:tcPr>
          <w:p>
            <w:pPr>
              <w:ind w:left="460"/>
              <w:spacing w:after="0"/>
              <w:rPr>
                <w:sz w:val="20"/>
                <w:szCs w:val="20"/>
                <w:color w:val="auto"/>
              </w:rPr>
            </w:pPr>
            <w:r>
              <w:rPr>
                <w:rFonts w:ascii="Arial" w:cs="Arial" w:eastAsia="Arial" w:hAnsi="Arial"/>
                <w:sz w:val="15"/>
                <w:szCs w:val="15"/>
                <w:b w:val="1"/>
                <w:bCs w:val="1"/>
                <w:color w:val="00304D"/>
              </w:rPr>
              <w:t>Professional background</w:t>
            </w:r>
          </w:p>
        </w:tc>
        <w:tc>
          <w:tcPr>
            <w:tcW w:w="0" w:type="dxa"/>
            <w:vAlign w:val="bottom"/>
          </w:tcPr>
          <w:p>
            <w:pPr>
              <w:spacing w:after="0"/>
              <w:rPr>
                <w:sz w:val="1"/>
                <w:szCs w:val="1"/>
                <w:color w:val="auto"/>
              </w:rPr>
            </w:pPr>
          </w:p>
        </w:tc>
      </w:tr>
      <w:tr>
        <w:trPr>
          <w:trHeight w:val="209"/>
        </w:trPr>
        <w:tc>
          <w:tcPr>
            <w:tcW w:w="1540" w:type="dxa"/>
            <w:vAlign w:val="bottom"/>
          </w:tcPr>
          <w:p>
            <w:pPr>
              <w:spacing w:after="0"/>
              <w:rPr>
                <w:sz w:val="20"/>
                <w:szCs w:val="20"/>
                <w:color w:val="auto"/>
              </w:rPr>
            </w:pPr>
            <w:r>
              <w:rPr>
                <w:rFonts w:ascii="Arial" w:cs="Arial" w:eastAsia="Arial" w:hAnsi="Arial"/>
                <w:sz w:val="15"/>
                <w:szCs w:val="15"/>
                <w:b w:val="1"/>
                <w:bCs w:val="1"/>
                <w:color w:val="00304D"/>
              </w:rPr>
              <w:t>Director</w:t>
            </w:r>
          </w:p>
        </w:tc>
        <w:tc>
          <w:tcPr>
            <w:tcW w:w="9540" w:type="dxa"/>
            <w:vAlign w:val="bottom"/>
          </w:tcPr>
          <w:p>
            <w:pPr>
              <w:ind w:left="460"/>
              <w:spacing w:after="0"/>
              <w:rPr>
                <w:sz w:val="20"/>
                <w:szCs w:val="20"/>
                <w:color w:val="auto"/>
              </w:rPr>
            </w:pPr>
            <w:r>
              <w:rPr>
                <w:rFonts w:ascii="Arial" w:cs="Arial" w:eastAsia="Arial" w:hAnsi="Arial"/>
                <w:sz w:val="15"/>
                <w:szCs w:val="15"/>
                <w:color w:val="auto"/>
              </w:rPr>
              <w:t>Mr. Hix served as the Executive Vice President and Chief Financial Officer of Enovis Corporation from 2016 to 2022 (and its</w:t>
            </w:r>
          </w:p>
        </w:tc>
        <w:tc>
          <w:tcPr>
            <w:tcW w:w="0" w:type="dxa"/>
            <w:vAlign w:val="bottom"/>
          </w:tcPr>
          <w:p>
            <w:pPr>
              <w:spacing w:after="0"/>
              <w:rPr>
                <w:sz w:val="1"/>
                <w:szCs w:val="1"/>
                <w:color w:val="auto"/>
              </w:rPr>
            </w:pPr>
          </w:p>
        </w:tc>
      </w:tr>
      <w:tr>
        <w:trPr>
          <w:trHeight w:val="177"/>
        </w:trPr>
        <w:tc>
          <w:tcPr>
            <w:tcW w:w="1540" w:type="dxa"/>
            <w:vAlign w:val="bottom"/>
          </w:tcPr>
          <w:p>
            <w:pPr>
              <w:spacing w:after="0"/>
              <w:rPr>
                <w:sz w:val="20"/>
                <w:szCs w:val="20"/>
                <w:color w:val="auto"/>
              </w:rPr>
            </w:pPr>
            <w:r>
              <w:rPr>
                <w:rFonts w:ascii="Arial" w:cs="Arial" w:eastAsia="Arial" w:hAnsi="Arial"/>
                <w:sz w:val="15"/>
                <w:szCs w:val="15"/>
                <w:b w:val="1"/>
                <w:bCs w:val="1"/>
                <w:color w:val="00304D"/>
              </w:rPr>
              <w:t xml:space="preserve">since: </w:t>
            </w:r>
            <w:r>
              <w:rPr>
                <w:rFonts w:ascii="Arial" w:cs="Arial" w:eastAsia="Arial" w:hAnsi="Arial"/>
                <w:sz w:val="15"/>
                <w:szCs w:val="15"/>
                <w:b w:val="1"/>
                <w:bCs w:val="1"/>
                <w:color w:val="265E7C"/>
              </w:rPr>
              <w:t>2026</w:t>
            </w:r>
          </w:p>
        </w:tc>
        <w:tc>
          <w:tcPr>
            <w:tcW w:w="9540" w:type="dxa"/>
            <w:vAlign w:val="bottom"/>
          </w:tcPr>
          <w:p>
            <w:pPr>
              <w:ind w:left="460"/>
              <w:spacing w:after="0"/>
              <w:rPr>
                <w:sz w:val="20"/>
                <w:szCs w:val="20"/>
                <w:color w:val="auto"/>
              </w:rPr>
            </w:pPr>
            <w:r>
              <w:rPr>
                <w:rFonts w:ascii="Arial" w:cs="Arial" w:eastAsia="Arial" w:hAnsi="Arial"/>
                <w:sz w:val="15"/>
                <w:szCs w:val="15"/>
                <w:color w:val="auto"/>
              </w:rPr>
              <w:t>predecessor Colfax Corporation). He previously served as the Senior Vice President and Chief Financial Officer of OM Group, and as</w:t>
            </w:r>
          </w:p>
        </w:tc>
        <w:tc>
          <w:tcPr>
            <w:tcW w:w="0" w:type="dxa"/>
            <w:vAlign w:val="bottom"/>
          </w:tcPr>
          <w:p>
            <w:pPr>
              <w:spacing w:after="0"/>
              <w:rPr>
                <w:sz w:val="1"/>
                <w:szCs w:val="1"/>
                <w:color w:val="auto"/>
              </w:rPr>
            </w:pPr>
          </w:p>
        </w:tc>
      </w:tr>
      <w:tr>
        <w:trPr>
          <w:trHeight w:val="164"/>
        </w:trPr>
        <w:tc>
          <w:tcPr>
            <w:tcW w:w="1540" w:type="dxa"/>
            <w:vAlign w:val="bottom"/>
            <w:vMerge w:val="restart"/>
          </w:tcPr>
          <w:p>
            <w:pPr>
              <w:spacing w:after="0"/>
              <w:rPr>
                <w:sz w:val="20"/>
                <w:szCs w:val="20"/>
                <w:color w:val="auto"/>
              </w:rPr>
            </w:pPr>
            <w:r>
              <w:rPr>
                <w:rFonts w:ascii="Arial" w:cs="Arial" w:eastAsia="Arial" w:hAnsi="Arial"/>
                <w:sz w:val="15"/>
                <w:szCs w:val="15"/>
                <w:b w:val="1"/>
                <w:bCs w:val="1"/>
                <w:i w:val="1"/>
                <w:iCs w:val="1"/>
                <w:color w:val="265E7C"/>
              </w:rPr>
              <w:t>INDEPENDENT</w:t>
            </w:r>
          </w:p>
        </w:tc>
        <w:tc>
          <w:tcPr>
            <w:tcW w:w="9540" w:type="dxa"/>
            <w:vAlign w:val="bottom"/>
          </w:tcPr>
          <w:p>
            <w:pPr>
              <w:ind w:left="460"/>
              <w:spacing w:after="0" w:line="164" w:lineRule="exact"/>
              <w:rPr>
                <w:sz w:val="20"/>
                <w:szCs w:val="20"/>
                <w:color w:val="auto"/>
              </w:rPr>
            </w:pPr>
            <w:r>
              <w:rPr>
                <w:rFonts w:ascii="Arial" w:cs="Arial" w:eastAsia="Arial" w:hAnsi="Arial"/>
                <w:sz w:val="15"/>
                <w:szCs w:val="15"/>
                <w:color w:val="auto"/>
              </w:rPr>
              <w:t>the Senior Vice President and Chief Financial Officer of Robbins &amp; Myers. Prior to Robbins &amp; Myers, he spent 14 years with Roper</w:t>
            </w:r>
          </w:p>
        </w:tc>
        <w:tc>
          <w:tcPr>
            <w:tcW w:w="0" w:type="dxa"/>
            <w:vAlign w:val="bottom"/>
          </w:tcPr>
          <w:p>
            <w:pPr>
              <w:spacing w:after="0"/>
              <w:rPr>
                <w:sz w:val="1"/>
                <w:szCs w:val="1"/>
                <w:color w:val="auto"/>
              </w:rPr>
            </w:pPr>
          </w:p>
        </w:tc>
      </w:tr>
      <w:tr>
        <w:trPr>
          <w:trHeight w:val="199"/>
        </w:trPr>
        <w:tc>
          <w:tcPr>
            <w:tcW w:w="1540" w:type="dxa"/>
            <w:vAlign w:val="bottom"/>
            <w:vMerge w:val="continue"/>
          </w:tcPr>
          <w:p>
            <w:pPr>
              <w:spacing w:after="0"/>
              <w:rPr>
                <w:sz w:val="17"/>
                <w:szCs w:val="17"/>
                <w:color w:val="auto"/>
              </w:rPr>
            </w:pPr>
          </w:p>
        </w:tc>
        <w:tc>
          <w:tcPr>
            <w:tcW w:w="9540" w:type="dxa"/>
            <w:vAlign w:val="bottom"/>
          </w:tcPr>
          <w:p>
            <w:pPr>
              <w:ind w:left="460"/>
              <w:spacing w:after="0"/>
              <w:rPr>
                <w:sz w:val="20"/>
                <w:szCs w:val="20"/>
                <w:color w:val="auto"/>
              </w:rPr>
            </w:pPr>
            <w:r>
              <w:rPr>
                <w:rFonts w:ascii="Arial" w:cs="Arial" w:eastAsia="Arial" w:hAnsi="Arial"/>
                <w:sz w:val="15"/>
                <w:szCs w:val="15"/>
                <w:color w:val="auto"/>
              </w:rPr>
              <w:t>Industries (now Roper Technologies) in a variety of operating, financial and strategic roles.</w:t>
            </w:r>
          </w:p>
        </w:tc>
        <w:tc>
          <w:tcPr>
            <w:tcW w:w="0" w:type="dxa"/>
            <w:vAlign w:val="bottom"/>
          </w:tcPr>
          <w:p>
            <w:pPr>
              <w:spacing w:after="0"/>
              <w:rPr>
                <w:sz w:val="1"/>
                <w:szCs w:val="1"/>
                <w:color w:val="auto"/>
              </w:rPr>
            </w:pPr>
          </w:p>
        </w:tc>
      </w:tr>
    </w:tbl>
    <w:p>
      <w:pPr>
        <w:spacing w:after="0" w:line="3"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0304D"/>
        </w:rPr>
        <w:t>Committees:</w:t>
      </w:r>
    </w:p>
    <w:p>
      <w:pPr>
        <w:spacing w:after="0" w:line="18" w:lineRule="exact"/>
        <w:rPr>
          <w:sz w:val="20"/>
          <w:szCs w:val="20"/>
          <w:color w:val="auto"/>
        </w:rPr>
      </w:pPr>
    </w:p>
    <w:p>
      <w:pPr>
        <w:ind w:left="260" w:hanging="175"/>
        <w:spacing w:after="0"/>
        <w:tabs>
          <w:tab w:leader="none" w:pos="260" w:val="left"/>
        </w:tabs>
        <w:numPr>
          <w:ilvl w:val="0"/>
          <w:numId w:val="15"/>
        </w:numPr>
        <w:rPr>
          <w:rFonts w:ascii="Arial" w:cs="Arial" w:eastAsia="Arial" w:hAnsi="Arial"/>
          <w:sz w:val="15"/>
          <w:szCs w:val="15"/>
          <w:color w:val="265E7C"/>
        </w:rPr>
      </w:pPr>
      <w:r>
        <w:rPr>
          <w:rFonts w:ascii="Arial" w:cs="Arial" w:eastAsia="Arial" w:hAnsi="Arial"/>
          <w:sz w:val="15"/>
          <w:szCs w:val="15"/>
          <w:color w:val="00304D"/>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71412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46"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0304D"/>
        </w:rPr>
        <w:t>Service on other public boards</w:t>
      </w:r>
    </w:p>
    <w:p>
      <w:pPr>
        <w:spacing w:after="0" w:line="18" w:lineRule="exact"/>
        <w:rPr>
          <w:sz w:val="20"/>
          <w:szCs w:val="20"/>
          <w:color w:val="auto"/>
        </w:rPr>
      </w:pPr>
    </w:p>
    <w:p>
      <w:pPr>
        <w:ind w:left="260" w:hanging="175"/>
        <w:spacing w:after="0"/>
        <w:tabs>
          <w:tab w:leader="none" w:pos="260" w:val="left"/>
        </w:tabs>
        <w:numPr>
          <w:ilvl w:val="0"/>
          <w:numId w:val="16"/>
        </w:numPr>
        <w:rPr>
          <w:rFonts w:ascii="Arial" w:cs="Arial" w:eastAsia="Arial" w:hAnsi="Arial"/>
          <w:sz w:val="15"/>
          <w:szCs w:val="15"/>
          <w:color w:val="265E7C"/>
        </w:rPr>
      </w:pPr>
      <w:r>
        <w:rPr>
          <w:rFonts w:ascii="Arial" w:cs="Arial" w:eastAsia="Arial" w:hAnsi="Arial"/>
          <w:sz w:val="15"/>
          <w:szCs w:val="15"/>
          <w:color w:val="00304D"/>
        </w:rPr>
        <w:t>Brady Corporation (2024-2026) (Chair of the Audit Committee)</w:t>
      </w:r>
    </w:p>
    <w:p>
      <w:pPr>
        <w:spacing w:after="0" w:line="25" w:lineRule="exact"/>
        <w:rPr>
          <w:rFonts w:ascii="Arial" w:cs="Arial" w:eastAsia="Arial" w:hAnsi="Arial"/>
          <w:sz w:val="15"/>
          <w:szCs w:val="15"/>
          <w:color w:val="265E7C"/>
        </w:rPr>
      </w:pPr>
    </w:p>
    <w:p>
      <w:pPr>
        <w:ind w:left="260" w:hanging="175"/>
        <w:spacing w:after="0"/>
        <w:tabs>
          <w:tab w:leader="none" w:pos="260" w:val="left"/>
        </w:tabs>
        <w:numPr>
          <w:ilvl w:val="0"/>
          <w:numId w:val="16"/>
        </w:numPr>
        <w:rPr>
          <w:rFonts w:ascii="Arial" w:cs="Arial" w:eastAsia="Arial" w:hAnsi="Arial"/>
          <w:sz w:val="15"/>
          <w:szCs w:val="15"/>
          <w:color w:val="265E7C"/>
        </w:rPr>
      </w:pPr>
      <w:r>
        <w:rPr>
          <w:rFonts w:ascii="Arial" w:cs="Arial" w:eastAsia="Arial" w:hAnsi="Arial"/>
          <w:sz w:val="15"/>
          <w:szCs w:val="15"/>
          <w:color w:val="00304D"/>
        </w:rPr>
        <w:t>ESAB Corporation (2021-2024)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5"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0304D"/>
        </w:rPr>
        <w:t>Relevant skills</w:t>
      </w:r>
    </w:p>
    <w:p>
      <w:pPr>
        <w:spacing w:after="0" w:line="18" w:lineRule="exact"/>
        <w:rPr>
          <w:sz w:val="20"/>
          <w:szCs w:val="20"/>
          <w:color w:val="auto"/>
        </w:rPr>
      </w:pPr>
    </w:p>
    <w:p>
      <w:pPr>
        <w:ind w:left="80" w:right="80"/>
        <w:spacing w:after="0" w:line="263" w:lineRule="auto"/>
        <w:rPr>
          <w:sz w:val="20"/>
          <w:szCs w:val="20"/>
          <w:color w:val="auto"/>
        </w:rPr>
      </w:pPr>
      <w:r>
        <w:rPr>
          <w:rFonts w:ascii="Arial" w:cs="Arial" w:eastAsia="Arial" w:hAnsi="Arial"/>
          <w:sz w:val="15"/>
          <w:szCs w:val="15"/>
          <w:color w:val="auto"/>
        </w:rPr>
        <w:t>Mr. Hix brings a deep background and extensive knowledge in finance, global business operations, and mergers and acquisitions from his past experiences as the Chief Financial Officer of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7141210"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47" w:lineRule="exact"/>
        <w:rPr>
          <w:sz w:val="20"/>
          <w:szCs w:val="20"/>
          <w:color w:val="auto"/>
        </w:rPr>
      </w:pPr>
    </w:p>
    <w:p>
      <w:pPr>
        <w:ind w:left="300" w:hanging="299"/>
        <w:spacing w:after="0"/>
        <w:tabs>
          <w:tab w:leader="none" w:pos="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Effective February 1, 2026</w:t>
      </w:r>
    </w:p>
    <w:p>
      <w:pPr>
        <w:spacing w:after="0" w:line="16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00304D"/>
        </w:rPr>
        <w:t>Cathy L. McCarthy</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00" w:type="dxa"/>
            <w:vAlign w:val="bottom"/>
            <w:tcBorders>
              <w:top w:val="single" w:sz="8" w:color="002F4D"/>
            </w:tcBorders>
            <w:gridSpan w:val="2"/>
            <w:shd w:val="clear" w:color="auto" w:fill="E5ECF1"/>
          </w:tcPr>
          <w:p>
            <w:pPr>
              <w:ind w:left="80"/>
              <w:spacing w:after="0"/>
              <w:rPr>
                <w:sz w:val="20"/>
                <w:szCs w:val="20"/>
                <w:color w:val="auto"/>
              </w:rPr>
            </w:pPr>
            <w:r>
              <w:rPr>
                <w:rFonts w:ascii="Arial" w:cs="Arial" w:eastAsia="Arial" w:hAnsi="Arial"/>
                <w:sz w:val="15"/>
                <w:szCs w:val="15"/>
                <w:b w:val="1"/>
                <w:bCs w:val="1"/>
                <w:color w:val="00304D"/>
              </w:rPr>
              <w:t>Age: 78</w:t>
            </w:r>
          </w:p>
        </w:tc>
        <w:tc>
          <w:tcPr>
            <w:tcW w:w="9240" w:type="dxa"/>
            <w:vAlign w:val="bottom"/>
            <w:tcBorders>
              <w:top w:val="single" w:sz="8" w:color="002F4D"/>
            </w:tcBorders>
          </w:tcPr>
          <w:p>
            <w:pPr>
              <w:ind w:left="80"/>
              <w:spacing w:after="0"/>
              <w:rPr>
                <w:sz w:val="20"/>
                <w:szCs w:val="20"/>
                <w:color w:val="auto"/>
              </w:rPr>
            </w:pPr>
            <w:r>
              <w:rPr>
                <w:rFonts w:ascii="Arial" w:cs="Arial" w:eastAsia="Arial" w:hAnsi="Arial"/>
                <w:sz w:val="15"/>
                <w:szCs w:val="15"/>
                <w:b w:val="1"/>
                <w:bCs w:val="1"/>
                <w:color w:val="00304D"/>
              </w:rPr>
              <w:t>Professional background</w:t>
            </w:r>
          </w:p>
        </w:tc>
        <w:tc>
          <w:tcPr>
            <w:tcW w:w="0" w:type="dxa"/>
            <w:vAlign w:val="bottom"/>
          </w:tcPr>
          <w:p>
            <w:pPr>
              <w:spacing w:after="0"/>
              <w:rPr>
                <w:sz w:val="1"/>
                <w:szCs w:val="1"/>
                <w:color w:val="auto"/>
              </w:rPr>
            </w:pPr>
          </w:p>
        </w:tc>
      </w:tr>
      <w:tr>
        <w:trPr>
          <w:trHeight w:val="209"/>
        </w:trPr>
        <w:tc>
          <w:tcPr>
            <w:tcW w:w="2000" w:type="dxa"/>
            <w:vAlign w:val="bottom"/>
            <w:gridSpan w:val="2"/>
            <w:shd w:val="clear" w:color="auto" w:fill="E5ECF1"/>
          </w:tcPr>
          <w:p>
            <w:pPr>
              <w:ind w:left="80"/>
              <w:spacing w:after="0"/>
              <w:rPr>
                <w:sz w:val="20"/>
                <w:szCs w:val="20"/>
                <w:color w:val="auto"/>
              </w:rPr>
            </w:pPr>
            <w:r>
              <w:rPr>
                <w:rFonts w:ascii="Arial" w:cs="Arial" w:eastAsia="Arial" w:hAnsi="Arial"/>
                <w:sz w:val="15"/>
                <w:szCs w:val="15"/>
                <w:b w:val="1"/>
                <w:bCs w:val="1"/>
                <w:color w:val="00304D"/>
              </w:rPr>
              <w:t>Director</w:t>
            </w:r>
          </w:p>
        </w:tc>
        <w:tc>
          <w:tcPr>
            <w:tcW w:w="9240" w:type="dxa"/>
            <w:vAlign w:val="bottom"/>
          </w:tcPr>
          <w:p>
            <w:pPr>
              <w:ind w:left="80"/>
              <w:spacing w:after="0"/>
              <w:rPr>
                <w:sz w:val="20"/>
                <w:szCs w:val="20"/>
                <w:color w:val="auto"/>
              </w:rPr>
            </w:pPr>
            <w:r>
              <w:rPr>
                <w:rFonts w:ascii="Arial" w:cs="Arial" w:eastAsia="Arial" w:hAnsi="Arial"/>
                <w:sz w:val="15"/>
                <w:szCs w:val="15"/>
                <w:color w:val="auto"/>
              </w:rPr>
              <w:t>Since 2011, Ms. McCarthy has served as President and Chief Executive Officer of Cross Tack Consulting, Inc., a management</w:t>
            </w:r>
          </w:p>
        </w:tc>
        <w:tc>
          <w:tcPr>
            <w:tcW w:w="0" w:type="dxa"/>
            <w:vAlign w:val="bottom"/>
          </w:tcPr>
          <w:p>
            <w:pPr>
              <w:spacing w:after="0"/>
              <w:rPr>
                <w:sz w:val="1"/>
                <w:szCs w:val="1"/>
                <w:color w:val="auto"/>
              </w:rPr>
            </w:pPr>
          </w:p>
        </w:tc>
      </w:tr>
      <w:tr>
        <w:trPr>
          <w:trHeight w:val="177"/>
        </w:trPr>
        <w:tc>
          <w:tcPr>
            <w:tcW w:w="2000" w:type="dxa"/>
            <w:vAlign w:val="bottom"/>
            <w:gridSpan w:val="2"/>
            <w:shd w:val="clear" w:color="auto" w:fill="E5ECF1"/>
          </w:tcPr>
          <w:p>
            <w:pPr>
              <w:ind w:left="80"/>
              <w:spacing w:after="0"/>
              <w:rPr>
                <w:sz w:val="20"/>
                <w:szCs w:val="20"/>
                <w:color w:val="auto"/>
              </w:rPr>
            </w:pPr>
            <w:r>
              <w:rPr>
                <w:rFonts w:ascii="Arial" w:cs="Arial" w:eastAsia="Arial" w:hAnsi="Arial"/>
                <w:sz w:val="15"/>
                <w:szCs w:val="15"/>
                <w:b w:val="1"/>
                <w:bCs w:val="1"/>
                <w:color w:val="00304D"/>
              </w:rPr>
              <w:t xml:space="preserve">since: </w:t>
            </w:r>
            <w:r>
              <w:rPr>
                <w:rFonts w:ascii="Arial" w:cs="Arial" w:eastAsia="Arial" w:hAnsi="Arial"/>
                <w:sz w:val="15"/>
                <w:szCs w:val="15"/>
                <w:b w:val="1"/>
                <w:bCs w:val="1"/>
                <w:color w:val="265E7C"/>
              </w:rPr>
              <w:t>2015</w:t>
            </w:r>
          </w:p>
        </w:tc>
        <w:tc>
          <w:tcPr>
            <w:tcW w:w="9240" w:type="dxa"/>
            <w:vAlign w:val="bottom"/>
          </w:tcPr>
          <w:p>
            <w:pPr>
              <w:ind w:left="80"/>
              <w:spacing w:after="0"/>
              <w:rPr>
                <w:sz w:val="20"/>
                <w:szCs w:val="20"/>
                <w:color w:val="auto"/>
              </w:rPr>
            </w:pPr>
            <w:r>
              <w:rPr>
                <w:rFonts w:ascii="Arial" w:cs="Arial" w:eastAsia="Arial" w:hAnsi="Arial"/>
                <w:sz w:val="15"/>
                <w:szCs w:val="15"/>
                <w:color w:val="auto"/>
              </w:rPr>
              <w:t>consulting firm. From 2007 to 2011, Ms. McCarthy served as President and Chief Executive Officer of SM&amp;A, a public company that</w:t>
            </w:r>
          </w:p>
        </w:tc>
        <w:tc>
          <w:tcPr>
            <w:tcW w:w="0" w:type="dxa"/>
            <w:vAlign w:val="bottom"/>
          </w:tcPr>
          <w:p>
            <w:pPr>
              <w:spacing w:after="0"/>
              <w:rPr>
                <w:sz w:val="1"/>
                <w:szCs w:val="1"/>
                <w:color w:val="auto"/>
              </w:rPr>
            </w:pPr>
          </w:p>
        </w:tc>
      </w:tr>
      <w:tr>
        <w:trPr>
          <w:trHeight w:val="164"/>
        </w:trPr>
        <w:tc>
          <w:tcPr>
            <w:tcW w:w="2000" w:type="dxa"/>
            <w:vAlign w:val="bottom"/>
            <w:gridSpan w:val="2"/>
            <w:vMerge w:val="restart"/>
            <w:shd w:val="clear" w:color="auto" w:fill="E5ECF1"/>
          </w:tcPr>
          <w:p>
            <w:pPr>
              <w:ind w:left="80"/>
              <w:spacing w:after="0"/>
              <w:rPr>
                <w:sz w:val="20"/>
                <w:szCs w:val="20"/>
                <w:color w:val="auto"/>
              </w:rPr>
            </w:pPr>
            <w:r>
              <w:rPr>
                <w:rFonts w:ascii="Arial" w:cs="Arial" w:eastAsia="Arial" w:hAnsi="Arial"/>
                <w:sz w:val="15"/>
                <w:szCs w:val="15"/>
                <w:b w:val="1"/>
                <w:bCs w:val="1"/>
                <w:i w:val="1"/>
                <w:iCs w:val="1"/>
                <w:color w:val="265E7C"/>
              </w:rPr>
              <w:t>INDEPENDENT</w:t>
            </w:r>
          </w:p>
        </w:tc>
        <w:tc>
          <w:tcPr>
            <w:tcW w:w="9240" w:type="dxa"/>
            <w:vAlign w:val="bottom"/>
          </w:tcPr>
          <w:p>
            <w:pPr>
              <w:ind w:left="80"/>
              <w:spacing w:after="0" w:line="164" w:lineRule="exact"/>
              <w:rPr>
                <w:sz w:val="20"/>
                <w:szCs w:val="20"/>
                <w:color w:val="auto"/>
              </w:rPr>
            </w:pPr>
            <w:r>
              <w:rPr>
                <w:rFonts w:ascii="Arial" w:cs="Arial" w:eastAsia="Arial" w:hAnsi="Arial"/>
                <w:sz w:val="15"/>
                <w:szCs w:val="15"/>
                <w:color w:val="auto"/>
              </w:rPr>
              <w:t>provides business strategy, competition management, and project management consulting services. Before becoming President, Ms.</w:t>
            </w:r>
          </w:p>
        </w:tc>
        <w:tc>
          <w:tcPr>
            <w:tcW w:w="0" w:type="dxa"/>
            <w:vAlign w:val="bottom"/>
          </w:tcPr>
          <w:p>
            <w:pPr>
              <w:spacing w:after="0"/>
              <w:rPr>
                <w:sz w:val="1"/>
                <w:szCs w:val="1"/>
                <w:color w:val="auto"/>
              </w:rPr>
            </w:pPr>
          </w:p>
        </w:tc>
      </w:tr>
      <w:tr>
        <w:trPr>
          <w:trHeight w:val="177"/>
        </w:trPr>
        <w:tc>
          <w:tcPr>
            <w:tcW w:w="2000" w:type="dxa"/>
            <w:vAlign w:val="bottom"/>
            <w:gridSpan w:val="2"/>
            <w:vMerge w:val="continue"/>
            <w:shd w:val="clear" w:color="auto" w:fill="E5ECF1"/>
          </w:tcPr>
          <w:p>
            <w:pPr>
              <w:spacing w:after="0"/>
              <w:rPr>
                <w:sz w:val="15"/>
                <w:szCs w:val="15"/>
                <w:color w:val="auto"/>
              </w:rPr>
            </w:pPr>
          </w:p>
        </w:tc>
        <w:tc>
          <w:tcPr>
            <w:tcW w:w="9240" w:type="dxa"/>
            <w:vAlign w:val="bottom"/>
          </w:tcPr>
          <w:p>
            <w:pPr>
              <w:ind w:left="80"/>
              <w:spacing w:after="0"/>
              <w:rPr>
                <w:sz w:val="20"/>
                <w:szCs w:val="20"/>
                <w:color w:val="auto"/>
              </w:rPr>
            </w:pPr>
            <w:r>
              <w:rPr>
                <w:rFonts w:ascii="Arial" w:cs="Arial" w:eastAsia="Arial" w:hAnsi="Arial"/>
                <w:sz w:val="15"/>
                <w:szCs w:val="15"/>
                <w:color w:val="auto"/>
              </w:rPr>
              <w:t>McCarthy served in various senior executive positions at SM&amp;A, including Executive Vice President, Chief Financial Officer, and</w:t>
            </w:r>
          </w:p>
        </w:tc>
        <w:tc>
          <w:tcPr>
            <w:tcW w:w="0" w:type="dxa"/>
            <w:vAlign w:val="bottom"/>
          </w:tcPr>
          <w:p>
            <w:pPr>
              <w:spacing w:after="0"/>
              <w:rPr>
                <w:sz w:val="1"/>
                <w:szCs w:val="1"/>
                <w:color w:val="auto"/>
              </w:rPr>
            </w:pPr>
          </w:p>
        </w:tc>
      </w:tr>
      <w:tr>
        <w:trPr>
          <w:trHeight w:val="177"/>
        </w:trPr>
        <w:tc>
          <w:tcPr>
            <w:tcW w:w="2000" w:type="dxa"/>
            <w:vAlign w:val="bottom"/>
            <w:gridSpan w:val="2"/>
            <w:shd w:val="clear" w:color="auto" w:fill="E5ECF1"/>
          </w:tcPr>
          <w:p>
            <w:pPr>
              <w:ind w:left="80"/>
              <w:spacing w:after="0"/>
              <w:rPr>
                <w:sz w:val="20"/>
                <w:szCs w:val="20"/>
                <w:color w:val="auto"/>
              </w:rPr>
            </w:pPr>
            <w:r>
              <w:rPr>
                <w:rFonts w:ascii="Arial" w:cs="Arial" w:eastAsia="Arial" w:hAnsi="Arial"/>
                <w:sz w:val="15"/>
                <w:szCs w:val="15"/>
                <w:b w:val="1"/>
                <w:bCs w:val="1"/>
                <w:color w:val="00304D"/>
              </w:rPr>
              <w:t>Committees:</w:t>
            </w:r>
          </w:p>
        </w:tc>
        <w:tc>
          <w:tcPr>
            <w:tcW w:w="9240" w:type="dxa"/>
            <w:vAlign w:val="bottom"/>
          </w:tcPr>
          <w:p>
            <w:pPr>
              <w:ind w:left="80"/>
              <w:spacing w:after="0"/>
              <w:rPr>
                <w:sz w:val="20"/>
                <w:szCs w:val="20"/>
                <w:color w:val="auto"/>
              </w:rPr>
            </w:pPr>
            <w:r>
              <w:rPr>
                <w:rFonts w:ascii="Arial" w:cs="Arial" w:eastAsia="Arial" w:hAnsi="Arial"/>
                <w:sz w:val="15"/>
                <w:szCs w:val="15"/>
                <w:color w:val="auto"/>
              </w:rPr>
              <w:t>Corporate Secretary from 2005 to mid-2007. Prior to SM&amp;A, Ms. McCarthy was Chief Financial Officer of PIA Merchandising, an in-</w:t>
            </w:r>
          </w:p>
        </w:tc>
        <w:tc>
          <w:tcPr>
            <w:tcW w:w="0" w:type="dxa"/>
            <w:vAlign w:val="bottom"/>
          </w:tcPr>
          <w:p>
            <w:pPr>
              <w:spacing w:after="0"/>
              <w:rPr>
                <w:sz w:val="1"/>
                <w:szCs w:val="1"/>
                <w:color w:val="auto"/>
              </w:rPr>
            </w:pPr>
          </w:p>
        </w:tc>
      </w:tr>
      <w:tr>
        <w:trPr>
          <w:trHeight w:val="189"/>
        </w:trPr>
        <w:tc>
          <w:tcPr>
            <w:tcW w:w="200" w:type="dxa"/>
            <w:vAlign w:val="bottom"/>
            <w:shd w:val="clear" w:color="auto" w:fill="E5ECF1"/>
          </w:tcPr>
          <w:p>
            <w:pPr>
              <w:ind w:left="80"/>
              <w:spacing w:after="0"/>
              <w:rPr>
                <w:sz w:val="20"/>
                <w:szCs w:val="20"/>
                <w:color w:val="auto"/>
              </w:rPr>
            </w:pPr>
            <w:r>
              <w:rPr>
                <w:rFonts w:ascii="Arial" w:cs="Arial" w:eastAsia="Arial" w:hAnsi="Arial"/>
                <w:sz w:val="15"/>
                <w:szCs w:val="15"/>
                <w:color w:val="265E7C"/>
              </w:rPr>
              <w:t>•</w:t>
            </w:r>
          </w:p>
        </w:tc>
        <w:tc>
          <w:tcPr>
            <w:tcW w:w="1800" w:type="dxa"/>
            <w:vAlign w:val="bottom"/>
            <w:shd w:val="clear" w:color="auto" w:fill="E5ECF1"/>
          </w:tcPr>
          <w:p>
            <w:pPr>
              <w:ind w:left="60"/>
              <w:spacing w:after="0"/>
              <w:rPr>
                <w:sz w:val="20"/>
                <w:szCs w:val="20"/>
                <w:color w:val="auto"/>
              </w:rPr>
            </w:pPr>
            <w:r>
              <w:rPr>
                <w:rFonts w:ascii="Arial" w:cs="Arial" w:eastAsia="Arial" w:hAnsi="Arial"/>
                <w:sz w:val="15"/>
                <w:szCs w:val="15"/>
                <w:color w:val="00304D"/>
              </w:rPr>
              <w:t>Audit (Chair)</w:t>
            </w:r>
          </w:p>
        </w:tc>
        <w:tc>
          <w:tcPr>
            <w:tcW w:w="9240" w:type="dxa"/>
            <w:vAlign w:val="bottom"/>
          </w:tcPr>
          <w:p>
            <w:pPr>
              <w:ind w:left="80"/>
              <w:spacing w:after="0"/>
              <w:rPr>
                <w:sz w:val="20"/>
                <w:szCs w:val="20"/>
                <w:color w:val="auto"/>
              </w:rPr>
            </w:pPr>
            <w:r>
              <w:rPr>
                <w:rFonts w:ascii="Arial" w:cs="Arial" w:eastAsia="Arial" w:hAnsi="Arial"/>
                <w:sz w:val="15"/>
                <w:szCs w:val="15"/>
                <w:color w:val="auto"/>
              </w:rPr>
              <w:t>store merchandising company; Giant Group, Ltd., an investment firm; and Wherehouse Entertainment, a major music and video retailer.</w:t>
            </w:r>
          </w:p>
        </w:tc>
        <w:tc>
          <w:tcPr>
            <w:tcW w:w="0" w:type="dxa"/>
            <w:vAlign w:val="bottom"/>
          </w:tcPr>
          <w:p>
            <w:pPr>
              <w:spacing w:after="0"/>
              <w:rPr>
                <w:sz w:val="1"/>
                <w:szCs w:val="1"/>
                <w:color w:val="auto"/>
              </w:rPr>
            </w:pPr>
          </w:p>
        </w:tc>
      </w:tr>
      <w:tr>
        <w:trPr>
          <w:trHeight w:val="189"/>
        </w:trPr>
        <w:tc>
          <w:tcPr>
            <w:tcW w:w="200" w:type="dxa"/>
            <w:vAlign w:val="bottom"/>
            <w:shd w:val="clear" w:color="auto" w:fill="E5ECF1"/>
          </w:tcPr>
          <w:p>
            <w:pPr>
              <w:ind w:left="80"/>
              <w:spacing w:after="0"/>
              <w:rPr>
                <w:sz w:val="20"/>
                <w:szCs w:val="20"/>
                <w:color w:val="auto"/>
              </w:rPr>
            </w:pPr>
            <w:r>
              <w:rPr>
                <w:rFonts w:ascii="Arial" w:cs="Arial" w:eastAsia="Arial" w:hAnsi="Arial"/>
                <w:sz w:val="15"/>
                <w:szCs w:val="15"/>
                <w:color w:val="265E7C"/>
              </w:rPr>
              <w:t>•</w:t>
            </w:r>
          </w:p>
        </w:tc>
        <w:tc>
          <w:tcPr>
            <w:tcW w:w="1800" w:type="dxa"/>
            <w:vAlign w:val="bottom"/>
            <w:shd w:val="clear" w:color="auto" w:fill="E5ECF1"/>
          </w:tcPr>
          <w:p>
            <w:pPr>
              <w:ind w:left="60"/>
              <w:spacing w:after="0"/>
              <w:rPr>
                <w:sz w:val="20"/>
                <w:szCs w:val="20"/>
                <w:color w:val="auto"/>
              </w:rPr>
            </w:pPr>
            <w:r>
              <w:rPr>
                <w:rFonts w:ascii="Arial" w:cs="Arial" w:eastAsia="Arial" w:hAnsi="Arial"/>
                <w:sz w:val="15"/>
                <w:szCs w:val="15"/>
                <w:color w:val="00304D"/>
              </w:rPr>
              <w:t>Nominating and</w:t>
            </w:r>
          </w:p>
        </w:tc>
        <w:tc>
          <w:tcPr>
            <w:tcW w:w="9240" w:type="dxa"/>
            <w:vAlign w:val="bottom"/>
          </w:tcPr>
          <w:p>
            <w:pPr>
              <w:ind w:left="80"/>
              <w:spacing w:after="0"/>
              <w:rPr>
                <w:sz w:val="20"/>
                <w:szCs w:val="20"/>
                <w:color w:val="auto"/>
              </w:rPr>
            </w:pPr>
            <w:r>
              <w:rPr>
                <w:rFonts w:ascii="Arial" w:cs="Arial" w:eastAsia="Arial" w:hAnsi="Arial"/>
                <w:sz w:val="15"/>
                <w:szCs w:val="15"/>
                <w:color w:val="auto"/>
              </w:rPr>
              <w:t>Ms. McCarthy began her career at Mellon Bank, N.A., where she was Vice President of several lending departments responsible for</w:t>
            </w:r>
          </w:p>
        </w:tc>
        <w:tc>
          <w:tcPr>
            <w:tcW w:w="0" w:type="dxa"/>
            <w:vAlign w:val="bottom"/>
          </w:tcPr>
          <w:p>
            <w:pPr>
              <w:spacing w:after="0"/>
              <w:rPr>
                <w:sz w:val="1"/>
                <w:szCs w:val="1"/>
                <w:color w:val="auto"/>
              </w:rPr>
            </w:pPr>
          </w:p>
        </w:tc>
      </w:tr>
      <w:tr>
        <w:trPr>
          <w:trHeight w:val="206"/>
        </w:trPr>
        <w:tc>
          <w:tcPr>
            <w:tcW w:w="200" w:type="dxa"/>
            <w:vAlign w:val="bottom"/>
            <w:tcBorders>
              <w:bottom w:val="single" w:sz="8" w:color="E5ECF1"/>
            </w:tcBorders>
            <w:shd w:val="clear" w:color="auto" w:fill="E5ECF1"/>
          </w:tcPr>
          <w:p>
            <w:pPr>
              <w:spacing w:after="0"/>
              <w:rPr>
                <w:sz w:val="17"/>
                <w:szCs w:val="17"/>
                <w:color w:val="auto"/>
              </w:rPr>
            </w:pPr>
          </w:p>
        </w:tc>
        <w:tc>
          <w:tcPr>
            <w:tcW w:w="1800" w:type="dxa"/>
            <w:vAlign w:val="bottom"/>
            <w:tcBorders>
              <w:bottom w:val="single" w:sz="8" w:color="E5ECF1"/>
            </w:tcBorders>
            <w:shd w:val="clear" w:color="auto" w:fill="E5ECF1"/>
          </w:tcPr>
          <w:p>
            <w:pPr>
              <w:ind w:left="60"/>
              <w:spacing w:after="0"/>
              <w:rPr>
                <w:sz w:val="20"/>
                <w:szCs w:val="20"/>
                <w:color w:val="auto"/>
              </w:rPr>
            </w:pPr>
            <w:r>
              <w:rPr>
                <w:rFonts w:ascii="Arial" w:cs="Arial" w:eastAsia="Arial" w:hAnsi="Arial"/>
                <w:sz w:val="15"/>
                <w:szCs w:val="15"/>
                <w:color w:val="00304D"/>
              </w:rPr>
              <w:t>Corporate Governance</w:t>
            </w:r>
          </w:p>
        </w:tc>
        <w:tc>
          <w:tcPr>
            <w:tcW w:w="9240" w:type="dxa"/>
            <w:vAlign w:val="bottom"/>
          </w:tcPr>
          <w:p>
            <w:pPr>
              <w:ind w:left="80"/>
              <w:spacing w:after="0"/>
              <w:rPr>
                <w:sz w:val="20"/>
                <w:szCs w:val="20"/>
                <w:color w:val="auto"/>
              </w:rPr>
            </w:pPr>
            <w:r>
              <w:rPr>
                <w:rFonts w:ascii="Arial" w:cs="Arial" w:eastAsia="Arial" w:hAnsi="Arial"/>
                <w:sz w:val="15"/>
                <w:szCs w:val="15"/>
                <w:color w:val="auto"/>
              </w:rPr>
              <w:t>oversight of highly leveraged and distressed assets and commercial lending.</w:t>
            </w:r>
          </w:p>
        </w:tc>
        <w:tc>
          <w:tcPr>
            <w:tcW w:w="0" w:type="dxa"/>
            <w:vAlign w:val="bottom"/>
          </w:tcPr>
          <w:p>
            <w:pPr>
              <w:spacing w:after="0"/>
              <w:rPr>
                <w:sz w:val="1"/>
                <w:szCs w:val="1"/>
                <w:color w:val="auto"/>
              </w:rPr>
            </w:pPr>
          </w:p>
        </w:tc>
      </w:tr>
      <w:tr>
        <w:trPr>
          <w:trHeight w:val="20"/>
        </w:trPr>
        <w:tc>
          <w:tcPr>
            <w:tcW w:w="200" w:type="dxa"/>
            <w:vAlign w:val="bottom"/>
            <w:shd w:val="clear" w:color="auto" w:fill="002F4D"/>
          </w:tcPr>
          <w:p>
            <w:pPr>
              <w:spacing w:after="0" w:line="20" w:lineRule="exact"/>
              <w:rPr>
                <w:sz w:val="1"/>
                <w:szCs w:val="1"/>
                <w:color w:val="auto"/>
              </w:rPr>
            </w:pPr>
          </w:p>
        </w:tc>
        <w:tc>
          <w:tcPr>
            <w:tcW w:w="1800" w:type="dxa"/>
            <w:vAlign w:val="bottom"/>
            <w:shd w:val="clear" w:color="auto" w:fill="002F4D"/>
          </w:tcPr>
          <w:p>
            <w:pPr>
              <w:spacing w:after="0" w:line="20" w:lineRule="exact"/>
              <w:rPr>
                <w:sz w:val="1"/>
                <w:szCs w:val="1"/>
                <w:color w:val="auto"/>
              </w:rPr>
            </w:pPr>
          </w:p>
        </w:tc>
        <w:tc>
          <w:tcPr>
            <w:tcW w:w="9240" w:type="dxa"/>
            <w:vAlign w:val="bottom"/>
            <w:shd w:val="clear" w:color="auto" w:fill="002F4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0304D"/>
        </w:rPr>
        <w:t>Service on other public boards</w:t>
      </w:r>
    </w:p>
    <w:p>
      <w:pPr>
        <w:spacing w:after="0" w:line="18" w:lineRule="exact"/>
        <w:rPr>
          <w:sz w:val="20"/>
          <w:szCs w:val="20"/>
          <w:color w:val="auto"/>
        </w:rPr>
      </w:pPr>
    </w:p>
    <w:p>
      <w:pPr>
        <w:ind w:left="260" w:hanging="175"/>
        <w:spacing w:after="0"/>
        <w:tabs>
          <w:tab w:leader="none" w:pos="260" w:val="left"/>
        </w:tabs>
        <w:numPr>
          <w:ilvl w:val="0"/>
          <w:numId w:val="18"/>
        </w:numPr>
        <w:rPr>
          <w:rFonts w:ascii="Arial" w:cs="Arial" w:eastAsia="Arial" w:hAnsi="Arial"/>
          <w:sz w:val="15"/>
          <w:szCs w:val="15"/>
          <w:color w:val="265E7C"/>
        </w:rPr>
      </w:pPr>
      <w:r>
        <w:rPr>
          <w:rFonts w:ascii="Arial" w:cs="Arial" w:eastAsia="Arial" w:hAnsi="Arial"/>
          <w:sz w:val="15"/>
          <w:szCs w:val="15"/>
          <w:color w:val="00304D"/>
        </w:rPr>
        <w:t>Rigetti Computing, Inc. (2022-2025)</w:t>
      </w:r>
    </w:p>
    <w:p>
      <w:pPr>
        <w:spacing w:after="0" w:line="25" w:lineRule="exact"/>
        <w:rPr>
          <w:rFonts w:ascii="Arial" w:cs="Arial" w:eastAsia="Arial" w:hAnsi="Arial"/>
          <w:sz w:val="15"/>
          <w:szCs w:val="15"/>
          <w:color w:val="265E7C"/>
        </w:rPr>
      </w:pPr>
    </w:p>
    <w:p>
      <w:pPr>
        <w:ind w:left="260" w:hanging="175"/>
        <w:spacing w:after="0"/>
        <w:tabs>
          <w:tab w:leader="none" w:pos="260" w:val="left"/>
        </w:tabs>
        <w:numPr>
          <w:ilvl w:val="0"/>
          <w:numId w:val="18"/>
        </w:numPr>
        <w:rPr>
          <w:rFonts w:ascii="Arial" w:cs="Arial" w:eastAsia="Arial" w:hAnsi="Arial"/>
          <w:sz w:val="15"/>
          <w:szCs w:val="15"/>
          <w:color w:val="265E7C"/>
        </w:rPr>
      </w:pPr>
      <w:r>
        <w:rPr>
          <w:rFonts w:ascii="Arial" w:cs="Arial" w:eastAsia="Arial" w:hAnsi="Arial"/>
          <w:sz w:val="15"/>
          <w:szCs w:val="15"/>
          <w:color w:val="00304D"/>
        </w:rPr>
        <w:t>Solta Medical, Inc. (2007-2014)</w:t>
      </w:r>
    </w:p>
    <w:p>
      <w:pPr>
        <w:spacing w:after="0" w:line="8" w:lineRule="exact"/>
        <w:rPr>
          <w:rFonts w:ascii="Arial" w:cs="Arial" w:eastAsia="Arial" w:hAnsi="Arial"/>
          <w:sz w:val="15"/>
          <w:szCs w:val="15"/>
          <w:color w:val="265E7C"/>
        </w:rPr>
      </w:pPr>
    </w:p>
    <w:p>
      <w:pPr>
        <w:ind w:left="260" w:hanging="175"/>
        <w:spacing w:after="0"/>
        <w:tabs>
          <w:tab w:leader="none" w:pos="260" w:val="left"/>
        </w:tabs>
        <w:numPr>
          <w:ilvl w:val="0"/>
          <w:numId w:val="18"/>
        </w:numPr>
        <w:rPr>
          <w:rFonts w:ascii="Arial" w:cs="Arial" w:eastAsia="Arial" w:hAnsi="Arial"/>
          <w:sz w:val="15"/>
          <w:szCs w:val="15"/>
          <w:color w:val="265E7C"/>
        </w:rPr>
      </w:pPr>
      <w:r>
        <w:rPr>
          <w:rFonts w:ascii="Arial" w:cs="Arial" w:eastAsia="Arial" w:hAnsi="Arial"/>
          <w:sz w:val="15"/>
          <w:szCs w:val="15"/>
          <w:color w:val="00304D"/>
        </w:rPr>
        <w:t>SM&amp;A (2007-2008)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12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3"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0304D"/>
        </w:rPr>
        <w:t>Relevant skills</w:t>
      </w:r>
    </w:p>
    <w:p>
      <w:pPr>
        <w:spacing w:after="0" w:line="18" w:lineRule="exact"/>
        <w:rPr>
          <w:sz w:val="20"/>
          <w:szCs w:val="20"/>
          <w:color w:val="auto"/>
        </w:rPr>
      </w:pPr>
    </w:p>
    <w:p>
      <w:pPr>
        <w:jc w:val="both"/>
        <w:ind w:left="80" w:right="80"/>
        <w:spacing w:after="0" w:line="254" w:lineRule="auto"/>
        <w:rPr>
          <w:sz w:val="20"/>
          <w:szCs w:val="20"/>
          <w:color w:val="auto"/>
        </w:rPr>
      </w:pPr>
      <w:r>
        <w:rPr>
          <w:rFonts w:ascii="Arial" w:cs="Arial" w:eastAsia="Arial" w:hAnsi="Arial"/>
          <w:sz w:val="15"/>
          <w:szCs w:val="15"/>
          <w:color w:val="auto"/>
        </w:rPr>
        <w:t>Ms. McCarthy’s operating experience as a Chief Executive Officer and a Chief Financial Officer of numerous public and private companies, combined with her extensive background in strategy, mergers and acquisitions, financial reporting, and internal controls, provide the Board with valuable strategy and financial oversight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7141210"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17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20" w:name="page21"/>
    <w:bookmarkEnd w:id="20"/>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00304D"/>
        </w:rPr>
        <w:t>Robert A. Nerbonne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00" w:type="dxa"/>
            <w:vAlign w:val="bottom"/>
            <w:tcBorders>
              <w:top w:val="single" w:sz="8" w:color="002F4D"/>
            </w:tcBorders>
            <w:shd w:val="clear" w:color="auto" w:fill="E5ECF1"/>
          </w:tcPr>
          <w:p>
            <w:pPr>
              <w:ind w:left="80"/>
              <w:spacing w:after="0"/>
              <w:rPr>
                <w:sz w:val="20"/>
                <w:szCs w:val="20"/>
                <w:color w:val="auto"/>
              </w:rPr>
            </w:pPr>
            <w:r>
              <w:rPr>
                <w:rFonts w:ascii="Arial" w:cs="Arial" w:eastAsia="Arial" w:hAnsi="Arial"/>
                <w:sz w:val="15"/>
                <w:szCs w:val="15"/>
                <w:b w:val="1"/>
                <w:bCs w:val="1"/>
                <w:color w:val="00304D"/>
              </w:rPr>
              <w:t>Age: 68</w:t>
            </w:r>
          </w:p>
        </w:tc>
        <w:tc>
          <w:tcPr>
            <w:tcW w:w="9240" w:type="dxa"/>
            <w:vAlign w:val="bottom"/>
            <w:tcBorders>
              <w:top w:val="single" w:sz="8" w:color="002F4D"/>
            </w:tcBorders>
          </w:tcPr>
          <w:p>
            <w:pPr>
              <w:ind w:left="80"/>
              <w:spacing w:after="0"/>
              <w:rPr>
                <w:sz w:val="20"/>
                <w:szCs w:val="20"/>
                <w:color w:val="auto"/>
              </w:rPr>
            </w:pPr>
            <w:r>
              <w:rPr>
                <w:rFonts w:ascii="Arial" w:cs="Arial" w:eastAsia="Arial" w:hAnsi="Arial"/>
                <w:sz w:val="15"/>
                <w:szCs w:val="15"/>
                <w:b w:val="1"/>
                <w:bCs w:val="1"/>
                <w:color w:val="00304D"/>
              </w:rPr>
              <w:t>Professional background</w:t>
            </w:r>
          </w:p>
        </w:tc>
        <w:tc>
          <w:tcPr>
            <w:tcW w:w="0" w:type="dxa"/>
            <w:vAlign w:val="bottom"/>
          </w:tcPr>
          <w:p>
            <w:pPr>
              <w:spacing w:after="0"/>
              <w:rPr>
                <w:sz w:val="1"/>
                <w:szCs w:val="1"/>
                <w:color w:val="auto"/>
              </w:rPr>
            </w:pPr>
          </w:p>
        </w:tc>
      </w:tr>
      <w:tr>
        <w:trPr>
          <w:trHeight w:val="209"/>
        </w:trPr>
        <w:tc>
          <w:tcPr>
            <w:tcW w:w="2000" w:type="dxa"/>
            <w:vAlign w:val="bottom"/>
            <w:shd w:val="clear" w:color="auto" w:fill="E5ECF1"/>
          </w:tcPr>
          <w:p>
            <w:pPr>
              <w:ind w:left="80"/>
              <w:spacing w:after="0"/>
              <w:rPr>
                <w:sz w:val="20"/>
                <w:szCs w:val="20"/>
                <w:color w:val="auto"/>
              </w:rPr>
            </w:pPr>
            <w:r>
              <w:rPr>
                <w:rFonts w:ascii="Arial" w:cs="Arial" w:eastAsia="Arial" w:hAnsi="Arial"/>
                <w:sz w:val="15"/>
                <w:szCs w:val="15"/>
                <w:b w:val="1"/>
                <w:bCs w:val="1"/>
                <w:color w:val="00304D"/>
              </w:rPr>
              <w:t>Director</w:t>
            </w:r>
          </w:p>
        </w:tc>
        <w:tc>
          <w:tcPr>
            <w:tcW w:w="9240" w:type="dxa"/>
            <w:vAlign w:val="bottom"/>
          </w:tcPr>
          <w:p>
            <w:pPr>
              <w:ind w:left="80"/>
              <w:spacing w:after="0"/>
              <w:rPr>
                <w:sz w:val="20"/>
                <w:szCs w:val="20"/>
                <w:color w:val="auto"/>
              </w:rPr>
            </w:pPr>
            <w:r>
              <w:rPr>
                <w:rFonts w:ascii="Arial" w:cs="Arial" w:eastAsia="Arial" w:hAnsi="Arial"/>
                <w:sz w:val="15"/>
                <w:szCs w:val="15"/>
                <w:color w:val="auto"/>
              </w:rPr>
              <w:t>Mr. Nerbonne was formerly the CEO and President of multiple commercial foodservice equipment companies. He was an officer and</w:t>
            </w:r>
          </w:p>
        </w:tc>
        <w:tc>
          <w:tcPr>
            <w:tcW w:w="0" w:type="dxa"/>
            <w:vAlign w:val="bottom"/>
          </w:tcPr>
          <w:p>
            <w:pPr>
              <w:spacing w:after="0"/>
              <w:rPr>
                <w:sz w:val="1"/>
                <w:szCs w:val="1"/>
                <w:color w:val="auto"/>
              </w:rPr>
            </w:pPr>
          </w:p>
        </w:tc>
      </w:tr>
      <w:tr>
        <w:trPr>
          <w:trHeight w:val="177"/>
        </w:trPr>
        <w:tc>
          <w:tcPr>
            <w:tcW w:w="2000" w:type="dxa"/>
            <w:vAlign w:val="bottom"/>
            <w:shd w:val="clear" w:color="auto" w:fill="E5ECF1"/>
          </w:tcPr>
          <w:p>
            <w:pPr>
              <w:ind w:left="80"/>
              <w:spacing w:after="0"/>
              <w:rPr>
                <w:sz w:val="20"/>
                <w:szCs w:val="20"/>
                <w:color w:val="auto"/>
              </w:rPr>
            </w:pPr>
            <w:r>
              <w:rPr>
                <w:rFonts w:ascii="Arial" w:cs="Arial" w:eastAsia="Arial" w:hAnsi="Arial"/>
                <w:sz w:val="15"/>
                <w:szCs w:val="15"/>
                <w:b w:val="1"/>
                <w:bCs w:val="1"/>
                <w:color w:val="00304D"/>
              </w:rPr>
              <w:t xml:space="preserve">since: </w:t>
            </w:r>
            <w:r>
              <w:rPr>
                <w:rFonts w:ascii="Arial" w:cs="Arial" w:eastAsia="Arial" w:hAnsi="Arial"/>
                <w:sz w:val="15"/>
                <w:szCs w:val="15"/>
                <w:b w:val="1"/>
                <w:bCs w:val="1"/>
                <w:color w:val="265E7C"/>
              </w:rPr>
              <w:t>2019</w:t>
            </w:r>
          </w:p>
        </w:tc>
        <w:tc>
          <w:tcPr>
            <w:tcW w:w="9240" w:type="dxa"/>
            <w:vAlign w:val="bottom"/>
          </w:tcPr>
          <w:p>
            <w:pPr>
              <w:ind w:left="80"/>
              <w:spacing w:after="0"/>
              <w:rPr>
                <w:sz w:val="20"/>
                <w:szCs w:val="20"/>
                <w:color w:val="auto"/>
              </w:rPr>
            </w:pPr>
            <w:r>
              <w:rPr>
                <w:rFonts w:ascii="Arial" w:cs="Arial" w:eastAsia="Arial" w:hAnsi="Arial"/>
                <w:sz w:val="15"/>
                <w:szCs w:val="15"/>
                <w:color w:val="auto"/>
              </w:rPr>
              <w:t>board member of Cooper-Atkins Corporation, a company that manufactures thermometers, timers, and wireless monitoring solutions,</w:t>
            </w:r>
          </w:p>
        </w:tc>
        <w:tc>
          <w:tcPr>
            <w:tcW w:w="0" w:type="dxa"/>
            <w:vAlign w:val="bottom"/>
          </w:tcPr>
          <w:p>
            <w:pPr>
              <w:spacing w:after="0"/>
              <w:rPr>
                <w:sz w:val="1"/>
                <w:szCs w:val="1"/>
                <w:color w:val="auto"/>
              </w:rPr>
            </w:pPr>
          </w:p>
        </w:tc>
      </w:tr>
      <w:tr>
        <w:trPr>
          <w:trHeight w:val="164"/>
        </w:trPr>
        <w:tc>
          <w:tcPr>
            <w:tcW w:w="2000" w:type="dxa"/>
            <w:vAlign w:val="bottom"/>
            <w:vMerge w:val="restart"/>
            <w:shd w:val="clear" w:color="auto" w:fill="E5ECF1"/>
          </w:tcPr>
          <w:p>
            <w:pPr>
              <w:ind w:left="80"/>
              <w:spacing w:after="0"/>
              <w:rPr>
                <w:sz w:val="20"/>
                <w:szCs w:val="20"/>
                <w:color w:val="auto"/>
              </w:rPr>
            </w:pPr>
            <w:r>
              <w:rPr>
                <w:rFonts w:ascii="Arial" w:cs="Arial" w:eastAsia="Arial" w:hAnsi="Arial"/>
                <w:sz w:val="15"/>
                <w:szCs w:val="15"/>
                <w:b w:val="1"/>
                <w:bCs w:val="1"/>
                <w:i w:val="1"/>
                <w:iCs w:val="1"/>
                <w:color w:val="265E7C"/>
              </w:rPr>
              <w:t>INDEPENDENT</w:t>
            </w:r>
          </w:p>
        </w:tc>
        <w:tc>
          <w:tcPr>
            <w:tcW w:w="9240" w:type="dxa"/>
            <w:vAlign w:val="bottom"/>
          </w:tcPr>
          <w:p>
            <w:pPr>
              <w:ind w:left="80"/>
              <w:spacing w:after="0" w:line="164" w:lineRule="exact"/>
              <w:rPr>
                <w:sz w:val="20"/>
                <w:szCs w:val="20"/>
                <w:color w:val="auto"/>
              </w:rPr>
            </w:pPr>
            <w:r>
              <w:rPr>
                <w:rFonts w:ascii="Arial" w:cs="Arial" w:eastAsia="Arial" w:hAnsi="Arial"/>
                <w:sz w:val="15"/>
                <w:szCs w:val="15"/>
                <w:color w:val="auto"/>
              </w:rPr>
              <w:t>from 2014 to 2018. He was a consultant for Cooper-Atkins Corporation from 2012 to 2014. Earlier in his career, Mr. Nerbonne was</w:t>
            </w:r>
          </w:p>
        </w:tc>
        <w:tc>
          <w:tcPr>
            <w:tcW w:w="0" w:type="dxa"/>
            <w:vAlign w:val="bottom"/>
          </w:tcPr>
          <w:p>
            <w:pPr>
              <w:spacing w:after="0"/>
              <w:rPr>
                <w:sz w:val="1"/>
                <w:szCs w:val="1"/>
                <w:color w:val="auto"/>
              </w:rPr>
            </w:pPr>
          </w:p>
        </w:tc>
      </w:tr>
      <w:tr>
        <w:trPr>
          <w:trHeight w:val="177"/>
        </w:trPr>
        <w:tc>
          <w:tcPr>
            <w:tcW w:w="2000" w:type="dxa"/>
            <w:vAlign w:val="bottom"/>
            <w:vMerge w:val="continue"/>
            <w:shd w:val="clear" w:color="auto" w:fill="E5ECF1"/>
          </w:tcPr>
          <w:p>
            <w:pPr>
              <w:spacing w:after="0"/>
              <w:rPr>
                <w:sz w:val="15"/>
                <w:szCs w:val="15"/>
                <w:color w:val="auto"/>
              </w:rPr>
            </w:pPr>
          </w:p>
        </w:tc>
        <w:tc>
          <w:tcPr>
            <w:tcW w:w="9240" w:type="dxa"/>
            <w:vAlign w:val="bottom"/>
          </w:tcPr>
          <w:p>
            <w:pPr>
              <w:ind w:left="80"/>
              <w:spacing w:after="0"/>
              <w:rPr>
                <w:sz w:val="20"/>
                <w:szCs w:val="20"/>
                <w:color w:val="auto"/>
              </w:rPr>
            </w:pPr>
            <w:r>
              <w:rPr>
                <w:rFonts w:ascii="Arial" w:cs="Arial" w:eastAsia="Arial" w:hAnsi="Arial"/>
                <w:sz w:val="15"/>
                <w:szCs w:val="15"/>
                <w:color w:val="auto"/>
              </w:rPr>
              <w:t>Chief Executive Officer of Ali Group North America, a manufacturer of equipment for the food service industry, from 2009 to 2011. He</w:t>
            </w:r>
          </w:p>
        </w:tc>
        <w:tc>
          <w:tcPr>
            <w:tcW w:w="0" w:type="dxa"/>
            <w:vAlign w:val="bottom"/>
          </w:tcPr>
          <w:p>
            <w:pPr>
              <w:spacing w:after="0"/>
              <w:rPr>
                <w:sz w:val="1"/>
                <w:szCs w:val="1"/>
                <w:color w:val="auto"/>
              </w:rPr>
            </w:pPr>
          </w:p>
        </w:tc>
      </w:tr>
      <w:tr>
        <w:trPr>
          <w:trHeight w:val="177"/>
        </w:trPr>
        <w:tc>
          <w:tcPr>
            <w:tcW w:w="2000" w:type="dxa"/>
            <w:vAlign w:val="bottom"/>
            <w:shd w:val="clear" w:color="auto" w:fill="E5ECF1"/>
          </w:tcPr>
          <w:p>
            <w:pPr>
              <w:ind w:left="80"/>
              <w:spacing w:after="0"/>
              <w:rPr>
                <w:sz w:val="20"/>
                <w:szCs w:val="20"/>
                <w:color w:val="auto"/>
              </w:rPr>
            </w:pPr>
            <w:r>
              <w:rPr>
                <w:rFonts w:ascii="Arial" w:cs="Arial" w:eastAsia="Arial" w:hAnsi="Arial"/>
                <w:sz w:val="15"/>
                <w:szCs w:val="15"/>
                <w:b w:val="1"/>
                <w:bCs w:val="1"/>
                <w:color w:val="00304D"/>
              </w:rPr>
              <w:t>Committees:</w:t>
            </w:r>
          </w:p>
        </w:tc>
        <w:tc>
          <w:tcPr>
            <w:tcW w:w="9240" w:type="dxa"/>
            <w:vAlign w:val="bottom"/>
          </w:tcPr>
          <w:p>
            <w:pPr>
              <w:ind w:left="80"/>
              <w:spacing w:after="0"/>
              <w:rPr>
                <w:sz w:val="20"/>
                <w:szCs w:val="20"/>
                <w:color w:val="auto"/>
              </w:rPr>
            </w:pPr>
            <w:r>
              <w:rPr>
                <w:rFonts w:ascii="Arial" w:cs="Arial" w:eastAsia="Arial" w:hAnsi="Arial"/>
                <w:sz w:val="15"/>
                <w:szCs w:val="15"/>
                <w:color w:val="auto"/>
              </w:rPr>
              <w:t>was Group President, Americas of Enodis (today Welbilt), and held other senior roles at that company, from 2002 to 2009. Prior to</w:t>
            </w:r>
          </w:p>
        </w:tc>
        <w:tc>
          <w:tcPr>
            <w:tcW w:w="0" w:type="dxa"/>
            <w:vAlign w:val="bottom"/>
          </w:tcPr>
          <w:p>
            <w:pPr>
              <w:spacing w:after="0"/>
              <w:rPr>
                <w:sz w:val="1"/>
                <w:szCs w:val="1"/>
                <w:color w:val="auto"/>
              </w:rPr>
            </w:pPr>
          </w:p>
        </w:tc>
      </w:tr>
      <w:tr>
        <w:trPr>
          <w:trHeight w:val="189"/>
        </w:trPr>
        <w:tc>
          <w:tcPr>
            <w:tcW w:w="2000" w:type="dxa"/>
            <w:vAlign w:val="bottom"/>
            <w:shd w:val="clear" w:color="auto" w:fill="E5ECF1"/>
          </w:tcPr>
          <w:p>
            <w:pPr>
              <w:ind w:left="80"/>
              <w:spacing w:after="0"/>
              <w:rPr>
                <w:sz w:val="20"/>
                <w:szCs w:val="20"/>
                <w:color w:val="auto"/>
              </w:rPr>
            </w:pPr>
            <w:r>
              <w:rPr>
                <w:rFonts w:ascii="Arial" w:cs="Arial" w:eastAsia="Arial" w:hAnsi="Arial"/>
                <w:sz w:val="15"/>
                <w:szCs w:val="15"/>
                <w:color w:val="265E7C"/>
              </w:rPr>
              <w:t xml:space="preserve">•  </w:t>
            </w:r>
            <w:r>
              <w:rPr>
                <w:rFonts w:ascii="Arial" w:cs="Arial" w:eastAsia="Arial" w:hAnsi="Arial"/>
                <w:sz w:val="15"/>
                <w:szCs w:val="15"/>
                <w:color w:val="00304D"/>
              </w:rPr>
              <w:t>Nominating and</w:t>
            </w:r>
          </w:p>
        </w:tc>
        <w:tc>
          <w:tcPr>
            <w:tcW w:w="9240" w:type="dxa"/>
            <w:vAlign w:val="bottom"/>
          </w:tcPr>
          <w:p>
            <w:pPr>
              <w:ind w:left="80"/>
              <w:spacing w:after="0"/>
              <w:rPr>
                <w:sz w:val="20"/>
                <w:szCs w:val="20"/>
                <w:color w:val="auto"/>
              </w:rPr>
            </w:pPr>
            <w:r>
              <w:rPr>
                <w:rFonts w:ascii="Arial" w:cs="Arial" w:eastAsia="Arial" w:hAnsi="Arial"/>
                <w:sz w:val="15"/>
                <w:szCs w:val="15"/>
                <w:color w:val="auto"/>
              </w:rPr>
              <w:t>2002, he held various leadership positions in the commercial food service industry, including President of Pitco from 1988 to 1998,</w:t>
            </w:r>
          </w:p>
        </w:tc>
        <w:tc>
          <w:tcPr>
            <w:tcW w:w="0" w:type="dxa"/>
            <w:vAlign w:val="bottom"/>
          </w:tcPr>
          <w:p>
            <w:pPr>
              <w:spacing w:after="0"/>
              <w:rPr>
                <w:sz w:val="1"/>
                <w:szCs w:val="1"/>
                <w:color w:val="auto"/>
              </w:rPr>
            </w:pPr>
          </w:p>
        </w:tc>
      </w:tr>
      <w:tr>
        <w:trPr>
          <w:trHeight w:val="232"/>
        </w:trPr>
        <w:tc>
          <w:tcPr>
            <w:tcW w:w="2000" w:type="dxa"/>
            <w:vAlign w:val="bottom"/>
            <w:tcBorders>
              <w:bottom w:val="single" w:sz="8" w:color="002F4D"/>
            </w:tcBorders>
            <w:shd w:val="clear" w:color="auto" w:fill="E5ECF1"/>
          </w:tcPr>
          <w:p>
            <w:pPr>
              <w:ind w:left="260"/>
              <w:spacing w:after="0"/>
              <w:rPr>
                <w:sz w:val="20"/>
                <w:szCs w:val="20"/>
                <w:color w:val="auto"/>
              </w:rPr>
            </w:pPr>
            <w:r>
              <w:rPr>
                <w:rFonts w:ascii="Arial" w:cs="Arial" w:eastAsia="Arial" w:hAnsi="Arial"/>
                <w:sz w:val="15"/>
                <w:szCs w:val="15"/>
                <w:color w:val="00304D"/>
              </w:rPr>
              <w:t>Corporate Governance</w:t>
            </w:r>
          </w:p>
        </w:tc>
        <w:tc>
          <w:tcPr>
            <w:tcW w:w="9240" w:type="dxa"/>
            <w:vAlign w:val="bottom"/>
            <w:tcBorders>
              <w:bottom w:val="single" w:sz="8" w:color="002F4D"/>
            </w:tcBorders>
          </w:tcPr>
          <w:p>
            <w:pPr>
              <w:ind w:left="80"/>
              <w:spacing w:after="0"/>
              <w:rPr>
                <w:sz w:val="20"/>
                <w:szCs w:val="20"/>
                <w:color w:val="auto"/>
              </w:rPr>
            </w:pPr>
            <w:r>
              <w:rPr>
                <w:rFonts w:ascii="Arial" w:cs="Arial" w:eastAsia="Arial" w:hAnsi="Arial"/>
                <w:sz w:val="15"/>
                <w:szCs w:val="15"/>
                <w:color w:val="auto"/>
              </w:rPr>
              <w:t>before Middleby acquired that company.</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0304D"/>
        </w:rPr>
        <w:t>Service on private boards</w:t>
      </w:r>
    </w:p>
    <w:p>
      <w:pPr>
        <w:spacing w:after="0" w:line="18" w:lineRule="exact"/>
        <w:rPr>
          <w:sz w:val="20"/>
          <w:szCs w:val="20"/>
          <w:color w:val="auto"/>
        </w:rPr>
      </w:pPr>
    </w:p>
    <w:p>
      <w:pPr>
        <w:ind w:left="260" w:hanging="175"/>
        <w:spacing w:after="0"/>
        <w:tabs>
          <w:tab w:leader="none" w:pos="260" w:val="left"/>
        </w:tabs>
        <w:numPr>
          <w:ilvl w:val="0"/>
          <w:numId w:val="19"/>
        </w:numPr>
        <w:rPr>
          <w:rFonts w:ascii="Arial" w:cs="Arial" w:eastAsia="Arial" w:hAnsi="Arial"/>
          <w:sz w:val="15"/>
          <w:szCs w:val="15"/>
          <w:color w:val="265E7C"/>
        </w:rPr>
      </w:pPr>
      <w:r>
        <w:rPr>
          <w:rFonts w:ascii="Arial" w:cs="Arial" w:eastAsia="Arial" w:hAnsi="Arial"/>
          <w:sz w:val="15"/>
          <w:szCs w:val="15"/>
          <w:color w:val="00304D"/>
        </w:rPr>
        <w:t>Cooper-Atkins Corporation (2014-2018)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714121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46"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0304D"/>
        </w:rPr>
        <w:t>Relevant skills</w:t>
      </w:r>
    </w:p>
    <w:p>
      <w:pPr>
        <w:spacing w:after="0" w:line="18" w:lineRule="exact"/>
        <w:rPr>
          <w:sz w:val="20"/>
          <w:szCs w:val="20"/>
          <w:color w:val="auto"/>
        </w:rPr>
      </w:pPr>
    </w:p>
    <w:p>
      <w:pPr>
        <w:ind w:left="80" w:right="80"/>
        <w:spacing w:after="0" w:line="263" w:lineRule="auto"/>
        <w:rPr>
          <w:sz w:val="20"/>
          <w:szCs w:val="20"/>
          <w:color w:val="auto"/>
        </w:rPr>
      </w:pPr>
      <w:r>
        <w:rPr>
          <w:rFonts w:ascii="Arial" w:cs="Arial" w:eastAsia="Arial" w:hAnsi="Arial"/>
          <w:sz w:val="15"/>
          <w:szCs w:val="15"/>
          <w:color w:val="auto"/>
        </w:rPr>
        <w:t>Mr. Nerbonne’s extensive and varied leadership roles within the commercial food service industry, as well as his mergers and acquisition background, provide the Board with valuable insight on how to proactively address market conditions and develop long-term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7141210" cy="15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164"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00304D"/>
        </w:rPr>
        <w:t>Gordon J.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7141210" cy="12661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1210" cy="1266190"/>
                    </a:xfrm>
                    <a:prstGeom prst="rect">
                      <a:avLst/>
                    </a:prstGeom>
                    <a:noFill/>
                  </pic:spPr>
                </pic:pic>
              </a:graphicData>
            </a:graphic>
          </wp:anchor>
        </w:drawing>
      </w: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540" w:type="dxa"/>
            <w:vAlign w:val="bottom"/>
          </w:tcPr>
          <w:p>
            <w:pPr>
              <w:spacing w:after="0"/>
              <w:rPr>
                <w:sz w:val="20"/>
                <w:szCs w:val="20"/>
                <w:color w:val="auto"/>
              </w:rPr>
            </w:pPr>
            <w:r>
              <w:rPr>
                <w:rFonts w:ascii="Arial" w:cs="Arial" w:eastAsia="Arial" w:hAnsi="Arial"/>
                <w:sz w:val="15"/>
                <w:szCs w:val="15"/>
                <w:b w:val="1"/>
                <w:bCs w:val="1"/>
                <w:color w:val="00304D"/>
              </w:rPr>
              <w:t>Age: 60</w:t>
            </w:r>
          </w:p>
        </w:tc>
        <w:tc>
          <w:tcPr>
            <w:tcW w:w="9540" w:type="dxa"/>
            <w:vAlign w:val="bottom"/>
          </w:tcPr>
          <w:p>
            <w:pPr>
              <w:ind w:left="460"/>
              <w:spacing w:after="0"/>
              <w:rPr>
                <w:sz w:val="20"/>
                <w:szCs w:val="20"/>
                <w:color w:val="auto"/>
              </w:rPr>
            </w:pPr>
            <w:r>
              <w:rPr>
                <w:rFonts w:ascii="Arial" w:cs="Arial" w:eastAsia="Arial" w:hAnsi="Arial"/>
                <w:sz w:val="15"/>
                <w:szCs w:val="15"/>
                <w:b w:val="1"/>
                <w:bCs w:val="1"/>
                <w:color w:val="00304D"/>
              </w:rPr>
              <w:t>Professional background</w:t>
            </w:r>
          </w:p>
        </w:tc>
        <w:tc>
          <w:tcPr>
            <w:tcW w:w="0" w:type="dxa"/>
            <w:vAlign w:val="bottom"/>
          </w:tcPr>
          <w:p>
            <w:pPr>
              <w:spacing w:after="0"/>
              <w:rPr>
                <w:sz w:val="1"/>
                <w:szCs w:val="1"/>
                <w:color w:val="auto"/>
              </w:rPr>
            </w:pPr>
          </w:p>
        </w:tc>
      </w:tr>
      <w:tr>
        <w:trPr>
          <w:trHeight w:val="209"/>
        </w:trPr>
        <w:tc>
          <w:tcPr>
            <w:tcW w:w="1540" w:type="dxa"/>
            <w:vAlign w:val="bottom"/>
          </w:tcPr>
          <w:p>
            <w:pPr>
              <w:spacing w:after="0"/>
              <w:rPr>
                <w:sz w:val="20"/>
                <w:szCs w:val="20"/>
                <w:color w:val="auto"/>
              </w:rPr>
            </w:pPr>
            <w:r>
              <w:rPr>
                <w:rFonts w:ascii="Arial" w:cs="Arial" w:eastAsia="Arial" w:hAnsi="Arial"/>
                <w:sz w:val="15"/>
                <w:szCs w:val="15"/>
                <w:b w:val="1"/>
                <w:bCs w:val="1"/>
                <w:color w:val="00304D"/>
              </w:rPr>
              <w:t>Director</w:t>
            </w:r>
          </w:p>
        </w:tc>
        <w:tc>
          <w:tcPr>
            <w:tcW w:w="9540" w:type="dxa"/>
            <w:vAlign w:val="bottom"/>
          </w:tcPr>
          <w:p>
            <w:pPr>
              <w:ind w:left="460"/>
              <w:spacing w:after="0"/>
              <w:rPr>
                <w:sz w:val="20"/>
                <w:szCs w:val="20"/>
                <w:color w:val="auto"/>
              </w:rPr>
            </w:pPr>
            <w:r>
              <w:rPr>
                <w:rFonts w:ascii="Arial" w:cs="Arial" w:eastAsia="Arial" w:hAnsi="Arial"/>
                <w:sz w:val="15"/>
                <w:szCs w:val="15"/>
                <w:color w:val="auto"/>
              </w:rPr>
              <w:t>Mr. O’Brien has been Managing Partner at Cannon Capital since 2017. In addition, from 2020 until mid-2022, he served as Chief</w:t>
            </w:r>
          </w:p>
        </w:tc>
        <w:tc>
          <w:tcPr>
            <w:tcW w:w="0" w:type="dxa"/>
            <w:vAlign w:val="bottom"/>
          </w:tcPr>
          <w:p>
            <w:pPr>
              <w:spacing w:after="0"/>
              <w:rPr>
                <w:sz w:val="1"/>
                <w:szCs w:val="1"/>
                <w:color w:val="auto"/>
              </w:rPr>
            </w:pPr>
          </w:p>
        </w:tc>
      </w:tr>
      <w:tr>
        <w:trPr>
          <w:trHeight w:val="177"/>
        </w:trPr>
        <w:tc>
          <w:tcPr>
            <w:tcW w:w="1540" w:type="dxa"/>
            <w:vAlign w:val="bottom"/>
          </w:tcPr>
          <w:p>
            <w:pPr>
              <w:spacing w:after="0"/>
              <w:rPr>
                <w:sz w:val="20"/>
                <w:szCs w:val="20"/>
                <w:color w:val="auto"/>
              </w:rPr>
            </w:pPr>
            <w:r>
              <w:rPr>
                <w:rFonts w:ascii="Arial" w:cs="Arial" w:eastAsia="Arial" w:hAnsi="Arial"/>
                <w:sz w:val="15"/>
                <w:szCs w:val="15"/>
                <w:b w:val="1"/>
                <w:bCs w:val="1"/>
                <w:color w:val="00304D"/>
              </w:rPr>
              <w:t xml:space="preserve">since: </w:t>
            </w:r>
            <w:r>
              <w:rPr>
                <w:rFonts w:ascii="Arial" w:cs="Arial" w:eastAsia="Arial" w:hAnsi="Arial"/>
                <w:sz w:val="15"/>
                <w:szCs w:val="15"/>
                <w:b w:val="1"/>
                <w:bCs w:val="1"/>
                <w:color w:val="265E7C"/>
              </w:rPr>
              <w:t>2005</w:t>
            </w:r>
          </w:p>
        </w:tc>
        <w:tc>
          <w:tcPr>
            <w:tcW w:w="9540" w:type="dxa"/>
            <w:vAlign w:val="bottom"/>
          </w:tcPr>
          <w:p>
            <w:pPr>
              <w:ind w:left="460"/>
              <w:spacing w:after="0"/>
              <w:rPr>
                <w:sz w:val="20"/>
                <w:szCs w:val="20"/>
                <w:color w:val="auto"/>
              </w:rPr>
            </w:pPr>
            <w:r>
              <w:rPr>
                <w:rFonts w:ascii="Arial" w:cs="Arial" w:eastAsia="Arial" w:hAnsi="Arial"/>
                <w:sz w:val="15"/>
                <w:szCs w:val="15"/>
                <w:color w:val="auto"/>
              </w:rPr>
              <w:t>Investment Officer and Chief Financial Officer at Re:Build Manufacturing, LLC. Before that, he was President of Specialty Finance and</w:t>
            </w:r>
          </w:p>
        </w:tc>
        <w:tc>
          <w:tcPr>
            <w:tcW w:w="0" w:type="dxa"/>
            <w:vAlign w:val="bottom"/>
          </w:tcPr>
          <w:p>
            <w:pPr>
              <w:spacing w:after="0"/>
              <w:rPr>
                <w:sz w:val="1"/>
                <w:szCs w:val="1"/>
                <w:color w:val="auto"/>
              </w:rPr>
            </w:pPr>
          </w:p>
        </w:tc>
      </w:tr>
      <w:tr>
        <w:trPr>
          <w:trHeight w:val="164"/>
        </w:trPr>
        <w:tc>
          <w:tcPr>
            <w:tcW w:w="1540" w:type="dxa"/>
            <w:vAlign w:val="bottom"/>
            <w:vMerge w:val="restart"/>
          </w:tcPr>
          <w:p>
            <w:pPr>
              <w:spacing w:after="0"/>
              <w:rPr>
                <w:sz w:val="20"/>
                <w:szCs w:val="20"/>
                <w:color w:val="auto"/>
              </w:rPr>
            </w:pPr>
            <w:r>
              <w:rPr>
                <w:rFonts w:ascii="Arial" w:cs="Arial" w:eastAsia="Arial" w:hAnsi="Arial"/>
                <w:sz w:val="15"/>
                <w:szCs w:val="15"/>
                <w:b w:val="1"/>
                <w:bCs w:val="1"/>
                <w:color w:val="00304D"/>
              </w:rPr>
              <w:t>Non-Executive</w:t>
            </w:r>
          </w:p>
        </w:tc>
        <w:tc>
          <w:tcPr>
            <w:tcW w:w="9540" w:type="dxa"/>
            <w:vAlign w:val="bottom"/>
          </w:tcPr>
          <w:p>
            <w:pPr>
              <w:ind w:left="460"/>
              <w:spacing w:after="0" w:line="164" w:lineRule="exact"/>
              <w:rPr>
                <w:sz w:val="20"/>
                <w:szCs w:val="20"/>
                <w:color w:val="auto"/>
              </w:rPr>
            </w:pPr>
            <w:r>
              <w:rPr>
                <w:rFonts w:ascii="Arial" w:cs="Arial" w:eastAsia="Arial" w:hAnsi="Arial"/>
                <w:sz w:val="15"/>
                <w:szCs w:val="15"/>
                <w:color w:val="auto"/>
              </w:rPr>
              <w:t>Operations of American Capital Strategies from 2008 to 2017, and Principal and Managing Director of American Capital Strategies from</w:t>
            </w:r>
          </w:p>
        </w:tc>
        <w:tc>
          <w:tcPr>
            <w:tcW w:w="0" w:type="dxa"/>
            <w:vAlign w:val="bottom"/>
          </w:tcPr>
          <w:p>
            <w:pPr>
              <w:spacing w:after="0"/>
              <w:rPr>
                <w:sz w:val="1"/>
                <w:szCs w:val="1"/>
                <w:color w:val="auto"/>
              </w:rPr>
            </w:pPr>
          </w:p>
        </w:tc>
      </w:tr>
      <w:tr>
        <w:trPr>
          <w:trHeight w:val="151"/>
        </w:trPr>
        <w:tc>
          <w:tcPr>
            <w:tcW w:w="1540" w:type="dxa"/>
            <w:vAlign w:val="bottom"/>
            <w:vMerge w:val="continue"/>
          </w:tcPr>
          <w:p>
            <w:pPr>
              <w:spacing w:after="0"/>
              <w:rPr>
                <w:sz w:val="13"/>
                <w:szCs w:val="13"/>
                <w:color w:val="auto"/>
              </w:rPr>
            </w:pPr>
          </w:p>
        </w:tc>
        <w:tc>
          <w:tcPr>
            <w:tcW w:w="9540" w:type="dxa"/>
            <w:vAlign w:val="bottom"/>
          </w:tcPr>
          <w:p>
            <w:pPr>
              <w:ind w:left="460"/>
              <w:spacing w:after="0" w:line="151" w:lineRule="exact"/>
              <w:rPr>
                <w:sz w:val="20"/>
                <w:szCs w:val="20"/>
                <w:color w:val="auto"/>
              </w:rPr>
            </w:pPr>
            <w:r>
              <w:rPr>
                <w:rFonts w:ascii="Arial" w:cs="Arial" w:eastAsia="Arial" w:hAnsi="Arial"/>
                <w:sz w:val="15"/>
                <w:szCs w:val="15"/>
                <w:color w:val="auto"/>
              </w:rPr>
              <w:t>1998 to 2008. Earlier in his career, he was Vice President of Pennington Partners/PENMAN Partners, a private equity firm, from 1995</w:t>
            </w:r>
          </w:p>
        </w:tc>
        <w:tc>
          <w:tcPr>
            <w:tcW w:w="0" w:type="dxa"/>
            <w:vAlign w:val="bottom"/>
          </w:tcPr>
          <w:p>
            <w:pPr>
              <w:spacing w:after="0"/>
              <w:rPr>
                <w:sz w:val="1"/>
                <w:szCs w:val="1"/>
                <w:color w:val="auto"/>
              </w:rPr>
            </w:pPr>
          </w:p>
        </w:tc>
      </w:tr>
      <w:tr>
        <w:trPr>
          <w:trHeight w:val="177"/>
        </w:trPr>
        <w:tc>
          <w:tcPr>
            <w:tcW w:w="1540" w:type="dxa"/>
            <w:vAlign w:val="bottom"/>
          </w:tcPr>
          <w:p>
            <w:pPr>
              <w:spacing w:after="0"/>
              <w:rPr>
                <w:sz w:val="20"/>
                <w:szCs w:val="20"/>
                <w:color w:val="auto"/>
              </w:rPr>
            </w:pPr>
            <w:r>
              <w:rPr>
                <w:rFonts w:ascii="Arial" w:cs="Arial" w:eastAsia="Arial" w:hAnsi="Arial"/>
                <w:sz w:val="15"/>
                <w:szCs w:val="15"/>
                <w:b w:val="1"/>
                <w:bCs w:val="1"/>
                <w:color w:val="00304D"/>
              </w:rPr>
              <w:t>Chairman</w:t>
            </w:r>
          </w:p>
        </w:tc>
        <w:tc>
          <w:tcPr>
            <w:tcW w:w="9540" w:type="dxa"/>
            <w:vAlign w:val="bottom"/>
          </w:tcPr>
          <w:p>
            <w:pPr>
              <w:ind w:left="460"/>
              <w:spacing w:after="0"/>
              <w:rPr>
                <w:sz w:val="20"/>
                <w:szCs w:val="20"/>
                <w:color w:val="auto"/>
              </w:rPr>
            </w:pPr>
            <w:r>
              <w:rPr>
                <w:rFonts w:ascii="Arial" w:cs="Arial" w:eastAsia="Arial" w:hAnsi="Arial"/>
                <w:sz w:val="15"/>
                <w:szCs w:val="15"/>
                <w:color w:val="auto"/>
              </w:rPr>
              <w:t>to 1998.</w:t>
            </w:r>
          </w:p>
        </w:tc>
        <w:tc>
          <w:tcPr>
            <w:tcW w:w="0" w:type="dxa"/>
            <w:vAlign w:val="bottom"/>
          </w:tcPr>
          <w:p>
            <w:pPr>
              <w:spacing w:after="0"/>
              <w:rPr>
                <w:sz w:val="1"/>
                <w:szCs w:val="1"/>
                <w:color w:val="auto"/>
              </w:rPr>
            </w:pPr>
          </w:p>
        </w:tc>
      </w:tr>
      <w:tr>
        <w:trPr>
          <w:trHeight w:val="207"/>
        </w:trPr>
        <w:tc>
          <w:tcPr>
            <w:tcW w:w="1540" w:type="dxa"/>
            <w:vAlign w:val="bottom"/>
          </w:tcPr>
          <w:p>
            <w:pPr>
              <w:spacing w:after="0"/>
              <w:rPr>
                <w:sz w:val="20"/>
                <w:szCs w:val="20"/>
                <w:color w:val="auto"/>
              </w:rPr>
            </w:pPr>
            <w:r>
              <w:rPr>
                <w:rFonts w:ascii="Arial" w:cs="Arial" w:eastAsia="Arial" w:hAnsi="Arial"/>
                <w:sz w:val="15"/>
                <w:szCs w:val="15"/>
                <w:b w:val="1"/>
                <w:bCs w:val="1"/>
                <w:color w:val="00304D"/>
              </w:rPr>
              <w:t xml:space="preserve">since: </w:t>
            </w:r>
            <w:r>
              <w:rPr>
                <w:rFonts w:ascii="Arial" w:cs="Arial" w:eastAsia="Arial" w:hAnsi="Arial"/>
                <w:sz w:val="15"/>
                <w:szCs w:val="15"/>
                <w:b w:val="1"/>
                <w:bCs w:val="1"/>
                <w:color w:val="265E7C"/>
              </w:rPr>
              <w:t>2019</w:t>
            </w:r>
          </w:p>
        </w:tc>
        <w:tc>
          <w:tcPr>
            <w:tcW w:w="9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540" w:type="dxa"/>
            <w:vAlign w:val="bottom"/>
          </w:tcPr>
          <w:p>
            <w:pPr>
              <w:spacing w:after="0"/>
              <w:rPr>
                <w:sz w:val="20"/>
                <w:szCs w:val="20"/>
                <w:color w:val="auto"/>
              </w:rPr>
            </w:pPr>
            <w:r>
              <w:rPr>
                <w:rFonts w:ascii="Arial" w:cs="Arial" w:eastAsia="Arial" w:hAnsi="Arial"/>
                <w:sz w:val="15"/>
                <w:szCs w:val="15"/>
                <w:b w:val="1"/>
                <w:bCs w:val="1"/>
                <w:i w:val="1"/>
                <w:iCs w:val="1"/>
                <w:color w:val="265E7C"/>
              </w:rPr>
              <w:t>INDEPENDENT</w:t>
            </w:r>
          </w:p>
        </w:tc>
        <w:tc>
          <w:tcPr>
            <w:tcW w:w="9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0304D"/>
        </w:rPr>
        <w:t>Committees:</w:t>
      </w:r>
    </w:p>
    <w:p>
      <w:pPr>
        <w:spacing w:after="0" w:line="18" w:lineRule="exact"/>
        <w:rPr>
          <w:sz w:val="20"/>
          <w:szCs w:val="20"/>
          <w:color w:val="auto"/>
        </w:rPr>
      </w:pPr>
    </w:p>
    <w:p>
      <w:pPr>
        <w:ind w:left="260" w:hanging="175"/>
        <w:spacing w:after="0"/>
        <w:tabs>
          <w:tab w:leader="none" w:pos="260" w:val="left"/>
        </w:tabs>
        <w:numPr>
          <w:ilvl w:val="0"/>
          <w:numId w:val="20"/>
        </w:numPr>
        <w:rPr>
          <w:rFonts w:ascii="Arial" w:cs="Arial" w:eastAsia="Arial" w:hAnsi="Arial"/>
          <w:sz w:val="15"/>
          <w:szCs w:val="15"/>
          <w:color w:val="265E7C"/>
        </w:rPr>
      </w:pPr>
      <w:r>
        <w:rPr>
          <w:rFonts w:ascii="Arial" w:cs="Arial" w:eastAsia="Arial" w:hAnsi="Arial"/>
          <w:sz w:val="15"/>
          <w:szCs w:val="15"/>
          <w:color w:val="00304D"/>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121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3"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0304D"/>
        </w:rPr>
        <w:t>Relevant skills</w:t>
      </w:r>
    </w:p>
    <w:p>
      <w:pPr>
        <w:spacing w:after="0" w:line="18" w:lineRule="exact"/>
        <w:rPr>
          <w:sz w:val="20"/>
          <w:szCs w:val="20"/>
          <w:color w:val="auto"/>
        </w:rPr>
      </w:pPr>
    </w:p>
    <w:p>
      <w:pPr>
        <w:jc w:val="both"/>
        <w:ind w:left="80" w:right="80"/>
        <w:spacing w:after="0" w:line="263" w:lineRule="auto"/>
        <w:rPr>
          <w:sz w:val="20"/>
          <w:szCs w:val="20"/>
          <w:color w:val="auto"/>
        </w:rPr>
      </w:pPr>
      <w:r>
        <w:rPr>
          <w:rFonts w:ascii="Arial" w:cs="Arial" w:eastAsia="Arial" w:hAnsi="Arial"/>
          <w:sz w:val="15"/>
          <w:szCs w:val="15"/>
          <w:color w:val="auto"/>
        </w:rPr>
        <w:t>Mr. O’Brien’s extensive experience with capital markets and acquisition strategy, as well as his private equity experience as a director on numerous other boards, is valuable in Board discussions regarding Middleby’s capital structure, liquidity needs, and acquisition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7141210" cy="1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164"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00304D"/>
        </w:rPr>
        <w:t>Stephen R. Scherger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7141210" cy="1306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1210" cy="1306195"/>
                    </a:xfrm>
                    <a:prstGeom prst="rect">
                      <a:avLst/>
                    </a:prstGeom>
                    <a:noFill/>
                  </pic:spPr>
                </pic:pic>
              </a:graphicData>
            </a:graphic>
          </wp:anchor>
        </w:drawing>
      </w: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580" w:type="dxa"/>
            <w:vAlign w:val="bottom"/>
            <w:gridSpan w:val="2"/>
          </w:tcPr>
          <w:p>
            <w:pPr>
              <w:spacing w:after="0"/>
              <w:rPr>
                <w:sz w:val="20"/>
                <w:szCs w:val="20"/>
                <w:color w:val="auto"/>
              </w:rPr>
            </w:pPr>
            <w:r>
              <w:rPr>
                <w:rFonts w:ascii="Arial" w:cs="Arial" w:eastAsia="Arial" w:hAnsi="Arial"/>
                <w:sz w:val="15"/>
                <w:szCs w:val="15"/>
                <w:b w:val="1"/>
                <w:bCs w:val="1"/>
                <w:color w:val="00304D"/>
              </w:rPr>
              <w:t>Age: 61</w:t>
            </w:r>
          </w:p>
        </w:tc>
        <w:tc>
          <w:tcPr>
            <w:tcW w:w="9500" w:type="dxa"/>
            <w:vAlign w:val="bottom"/>
          </w:tcPr>
          <w:p>
            <w:pPr>
              <w:ind w:left="420"/>
              <w:spacing w:after="0"/>
              <w:rPr>
                <w:sz w:val="20"/>
                <w:szCs w:val="20"/>
                <w:color w:val="auto"/>
              </w:rPr>
            </w:pPr>
            <w:r>
              <w:rPr>
                <w:rFonts w:ascii="Arial" w:cs="Arial" w:eastAsia="Arial" w:hAnsi="Arial"/>
                <w:sz w:val="15"/>
                <w:szCs w:val="15"/>
                <w:b w:val="1"/>
                <w:bCs w:val="1"/>
                <w:color w:val="00304D"/>
              </w:rPr>
              <w:t>Professional background</w:t>
            </w:r>
          </w:p>
        </w:tc>
        <w:tc>
          <w:tcPr>
            <w:tcW w:w="0" w:type="dxa"/>
            <w:vAlign w:val="bottom"/>
          </w:tcPr>
          <w:p>
            <w:pPr>
              <w:spacing w:after="0"/>
              <w:rPr>
                <w:sz w:val="1"/>
                <w:szCs w:val="1"/>
                <w:color w:val="auto"/>
              </w:rPr>
            </w:pPr>
          </w:p>
        </w:tc>
      </w:tr>
      <w:tr>
        <w:trPr>
          <w:trHeight w:val="209"/>
        </w:trPr>
        <w:tc>
          <w:tcPr>
            <w:tcW w:w="1580" w:type="dxa"/>
            <w:vAlign w:val="bottom"/>
            <w:gridSpan w:val="2"/>
          </w:tcPr>
          <w:p>
            <w:pPr>
              <w:spacing w:after="0"/>
              <w:rPr>
                <w:sz w:val="20"/>
                <w:szCs w:val="20"/>
                <w:color w:val="auto"/>
              </w:rPr>
            </w:pPr>
            <w:r>
              <w:rPr>
                <w:rFonts w:ascii="Arial" w:cs="Arial" w:eastAsia="Arial" w:hAnsi="Arial"/>
                <w:sz w:val="15"/>
                <w:szCs w:val="15"/>
                <w:b w:val="1"/>
                <w:bCs w:val="1"/>
                <w:color w:val="00304D"/>
              </w:rPr>
              <w:t>Director</w:t>
            </w:r>
          </w:p>
        </w:tc>
        <w:tc>
          <w:tcPr>
            <w:tcW w:w="9500" w:type="dxa"/>
            <w:vAlign w:val="bottom"/>
          </w:tcPr>
          <w:p>
            <w:pPr>
              <w:ind w:left="420"/>
              <w:spacing w:after="0"/>
              <w:rPr>
                <w:sz w:val="20"/>
                <w:szCs w:val="20"/>
                <w:color w:val="auto"/>
              </w:rPr>
            </w:pPr>
            <w:r>
              <w:rPr>
                <w:rFonts w:ascii="Arial" w:cs="Arial" w:eastAsia="Arial" w:hAnsi="Arial"/>
                <w:sz w:val="15"/>
                <w:szCs w:val="15"/>
                <w:color w:val="auto"/>
              </w:rPr>
              <w:t>Since 2025, Mr. Scherger has served as the Executive Vice President and Chief Financial Officer of Amcor plc, a global leader in</w:t>
            </w:r>
          </w:p>
        </w:tc>
        <w:tc>
          <w:tcPr>
            <w:tcW w:w="0" w:type="dxa"/>
            <w:vAlign w:val="bottom"/>
          </w:tcPr>
          <w:p>
            <w:pPr>
              <w:spacing w:after="0"/>
              <w:rPr>
                <w:sz w:val="1"/>
                <w:szCs w:val="1"/>
                <w:color w:val="auto"/>
              </w:rPr>
            </w:pPr>
          </w:p>
        </w:tc>
      </w:tr>
      <w:tr>
        <w:trPr>
          <w:trHeight w:val="177"/>
        </w:trPr>
        <w:tc>
          <w:tcPr>
            <w:tcW w:w="1580" w:type="dxa"/>
            <w:vAlign w:val="bottom"/>
            <w:gridSpan w:val="2"/>
          </w:tcPr>
          <w:p>
            <w:pPr>
              <w:spacing w:after="0"/>
              <w:rPr>
                <w:sz w:val="20"/>
                <w:szCs w:val="20"/>
                <w:color w:val="auto"/>
              </w:rPr>
            </w:pPr>
            <w:r>
              <w:rPr>
                <w:rFonts w:ascii="Arial" w:cs="Arial" w:eastAsia="Arial" w:hAnsi="Arial"/>
                <w:sz w:val="15"/>
                <w:szCs w:val="15"/>
                <w:b w:val="1"/>
                <w:bCs w:val="1"/>
                <w:color w:val="00304D"/>
              </w:rPr>
              <w:t xml:space="preserve">since: </w:t>
            </w:r>
            <w:r>
              <w:rPr>
                <w:rFonts w:ascii="Arial" w:cs="Arial" w:eastAsia="Arial" w:hAnsi="Arial"/>
                <w:sz w:val="15"/>
                <w:szCs w:val="15"/>
                <w:b w:val="1"/>
                <w:bCs w:val="1"/>
                <w:color w:val="265E7C"/>
              </w:rPr>
              <w:t>2024</w:t>
            </w:r>
          </w:p>
        </w:tc>
        <w:tc>
          <w:tcPr>
            <w:tcW w:w="9500" w:type="dxa"/>
            <w:vAlign w:val="bottom"/>
          </w:tcPr>
          <w:p>
            <w:pPr>
              <w:ind w:left="420"/>
              <w:spacing w:after="0"/>
              <w:rPr>
                <w:sz w:val="20"/>
                <w:szCs w:val="20"/>
                <w:color w:val="auto"/>
              </w:rPr>
            </w:pPr>
            <w:r>
              <w:rPr>
                <w:rFonts w:ascii="Arial" w:cs="Arial" w:eastAsia="Arial" w:hAnsi="Arial"/>
                <w:sz w:val="15"/>
                <w:szCs w:val="15"/>
                <w:color w:val="auto"/>
              </w:rPr>
              <w:t>consumer packaging and dispensing solutions for nutrition, health, beauty and wellness. From 2015 to 2025, Mr. Scherger served as</w:t>
            </w:r>
          </w:p>
        </w:tc>
        <w:tc>
          <w:tcPr>
            <w:tcW w:w="0" w:type="dxa"/>
            <w:vAlign w:val="bottom"/>
          </w:tcPr>
          <w:p>
            <w:pPr>
              <w:spacing w:after="0"/>
              <w:rPr>
                <w:sz w:val="1"/>
                <w:szCs w:val="1"/>
                <w:color w:val="auto"/>
              </w:rPr>
            </w:pPr>
          </w:p>
        </w:tc>
      </w:tr>
      <w:tr>
        <w:trPr>
          <w:trHeight w:val="164"/>
        </w:trPr>
        <w:tc>
          <w:tcPr>
            <w:tcW w:w="1580" w:type="dxa"/>
            <w:vAlign w:val="bottom"/>
            <w:gridSpan w:val="2"/>
            <w:vMerge w:val="restart"/>
          </w:tcPr>
          <w:p>
            <w:pPr>
              <w:spacing w:after="0"/>
              <w:rPr>
                <w:sz w:val="20"/>
                <w:szCs w:val="20"/>
                <w:color w:val="auto"/>
              </w:rPr>
            </w:pPr>
            <w:r>
              <w:rPr>
                <w:rFonts w:ascii="Arial" w:cs="Arial" w:eastAsia="Arial" w:hAnsi="Arial"/>
                <w:sz w:val="15"/>
                <w:szCs w:val="15"/>
                <w:b w:val="1"/>
                <w:bCs w:val="1"/>
                <w:i w:val="1"/>
                <w:iCs w:val="1"/>
                <w:color w:val="265E7C"/>
              </w:rPr>
              <w:t>INDEPENDENT</w:t>
            </w:r>
          </w:p>
        </w:tc>
        <w:tc>
          <w:tcPr>
            <w:tcW w:w="9500" w:type="dxa"/>
            <w:vAlign w:val="bottom"/>
          </w:tcPr>
          <w:p>
            <w:pPr>
              <w:ind w:left="420"/>
              <w:spacing w:after="0" w:line="164" w:lineRule="exact"/>
              <w:rPr>
                <w:sz w:val="20"/>
                <w:szCs w:val="20"/>
                <w:color w:val="auto"/>
              </w:rPr>
            </w:pPr>
            <w:r>
              <w:rPr>
                <w:rFonts w:ascii="Arial" w:cs="Arial" w:eastAsia="Arial" w:hAnsi="Arial"/>
                <w:sz w:val="15"/>
                <w:szCs w:val="15"/>
                <w:color w:val="auto"/>
              </w:rPr>
              <w:t>the Executive Vice President and Chief Financial Officer of Graphic Packaging Holding Company, a leading provider of sustainable</w:t>
            </w:r>
          </w:p>
        </w:tc>
        <w:tc>
          <w:tcPr>
            <w:tcW w:w="0" w:type="dxa"/>
            <w:vAlign w:val="bottom"/>
          </w:tcPr>
          <w:p>
            <w:pPr>
              <w:spacing w:after="0"/>
              <w:rPr>
                <w:sz w:val="1"/>
                <w:szCs w:val="1"/>
                <w:color w:val="auto"/>
              </w:rPr>
            </w:pPr>
          </w:p>
        </w:tc>
      </w:tr>
      <w:tr>
        <w:trPr>
          <w:trHeight w:val="177"/>
        </w:trPr>
        <w:tc>
          <w:tcPr>
            <w:tcW w:w="1580" w:type="dxa"/>
            <w:vAlign w:val="bottom"/>
            <w:gridSpan w:val="2"/>
            <w:vMerge w:val="continue"/>
          </w:tcPr>
          <w:p>
            <w:pPr>
              <w:spacing w:after="0"/>
              <w:rPr>
                <w:sz w:val="15"/>
                <w:szCs w:val="15"/>
                <w:color w:val="auto"/>
              </w:rPr>
            </w:pPr>
          </w:p>
        </w:tc>
        <w:tc>
          <w:tcPr>
            <w:tcW w:w="9500" w:type="dxa"/>
            <w:vAlign w:val="bottom"/>
          </w:tcPr>
          <w:p>
            <w:pPr>
              <w:ind w:left="420"/>
              <w:spacing w:after="0"/>
              <w:rPr>
                <w:sz w:val="20"/>
                <w:szCs w:val="20"/>
                <w:color w:val="auto"/>
              </w:rPr>
            </w:pPr>
            <w:r>
              <w:rPr>
                <w:rFonts w:ascii="Arial" w:cs="Arial" w:eastAsia="Arial" w:hAnsi="Arial"/>
                <w:sz w:val="15"/>
                <w:szCs w:val="15"/>
                <w:color w:val="auto"/>
              </w:rPr>
              <w:t>fiber-based packaging solutions. From October 1, 2014 through December 31, 2014, Mr. Scherger was the Senior Vice President –</w:t>
            </w:r>
          </w:p>
        </w:tc>
        <w:tc>
          <w:tcPr>
            <w:tcW w:w="0" w:type="dxa"/>
            <w:vAlign w:val="bottom"/>
          </w:tcPr>
          <w:p>
            <w:pPr>
              <w:spacing w:after="0"/>
              <w:rPr>
                <w:sz w:val="1"/>
                <w:szCs w:val="1"/>
                <w:color w:val="auto"/>
              </w:rPr>
            </w:pPr>
          </w:p>
        </w:tc>
      </w:tr>
      <w:tr>
        <w:trPr>
          <w:trHeight w:val="177"/>
        </w:trPr>
        <w:tc>
          <w:tcPr>
            <w:tcW w:w="1580" w:type="dxa"/>
            <w:vAlign w:val="bottom"/>
            <w:gridSpan w:val="2"/>
          </w:tcPr>
          <w:p>
            <w:pPr>
              <w:spacing w:after="0"/>
              <w:rPr>
                <w:sz w:val="20"/>
                <w:szCs w:val="20"/>
                <w:color w:val="auto"/>
              </w:rPr>
            </w:pPr>
            <w:r>
              <w:rPr>
                <w:rFonts w:ascii="Arial" w:cs="Arial" w:eastAsia="Arial" w:hAnsi="Arial"/>
                <w:sz w:val="15"/>
                <w:szCs w:val="15"/>
                <w:b w:val="1"/>
                <w:bCs w:val="1"/>
                <w:color w:val="00304D"/>
              </w:rPr>
              <w:t>Committees:</w:t>
            </w:r>
          </w:p>
        </w:tc>
        <w:tc>
          <w:tcPr>
            <w:tcW w:w="9500" w:type="dxa"/>
            <w:vAlign w:val="bottom"/>
          </w:tcPr>
          <w:p>
            <w:pPr>
              <w:ind w:left="420"/>
              <w:spacing w:after="0"/>
              <w:rPr>
                <w:sz w:val="20"/>
                <w:szCs w:val="20"/>
                <w:color w:val="auto"/>
              </w:rPr>
            </w:pPr>
            <w:r>
              <w:rPr>
                <w:rFonts w:ascii="Arial" w:cs="Arial" w:eastAsia="Arial" w:hAnsi="Arial"/>
                <w:sz w:val="15"/>
                <w:szCs w:val="15"/>
                <w:color w:val="auto"/>
              </w:rPr>
              <w:t>Finance at Graphic Packaging Holding Company. From April 2012 through September 2014, Mr. Scherger served as Senior Vice</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20"/>
                <w:szCs w:val="20"/>
                <w:color w:val="auto"/>
              </w:rPr>
            </w:pPr>
            <w:r>
              <w:rPr>
                <w:rFonts w:ascii="Arial" w:cs="Arial" w:eastAsia="Arial" w:hAnsi="Arial"/>
                <w:sz w:val="15"/>
                <w:szCs w:val="15"/>
                <w:color w:val="265E7C"/>
              </w:rPr>
              <w:t>•</w:t>
            </w:r>
          </w:p>
        </w:tc>
        <w:tc>
          <w:tcPr>
            <w:tcW w:w="1460" w:type="dxa"/>
            <w:vAlign w:val="bottom"/>
          </w:tcPr>
          <w:p>
            <w:pPr>
              <w:ind w:left="60"/>
              <w:spacing w:after="0"/>
              <w:rPr>
                <w:sz w:val="20"/>
                <w:szCs w:val="20"/>
                <w:color w:val="auto"/>
              </w:rPr>
            </w:pPr>
            <w:r>
              <w:rPr>
                <w:rFonts w:ascii="Arial" w:cs="Arial" w:eastAsia="Arial" w:hAnsi="Arial"/>
                <w:sz w:val="15"/>
                <w:szCs w:val="15"/>
                <w:color w:val="00304D"/>
              </w:rPr>
              <w:t>Audit</w:t>
            </w:r>
          </w:p>
        </w:tc>
        <w:tc>
          <w:tcPr>
            <w:tcW w:w="9500" w:type="dxa"/>
            <w:vAlign w:val="bottom"/>
          </w:tcPr>
          <w:p>
            <w:pPr>
              <w:ind w:left="420"/>
              <w:spacing w:after="0"/>
              <w:rPr>
                <w:sz w:val="20"/>
                <w:szCs w:val="20"/>
                <w:color w:val="auto"/>
              </w:rPr>
            </w:pPr>
            <w:r>
              <w:rPr>
                <w:rFonts w:ascii="Arial" w:cs="Arial" w:eastAsia="Arial" w:hAnsi="Arial"/>
                <w:sz w:val="15"/>
                <w:szCs w:val="15"/>
                <w:color w:val="auto"/>
              </w:rPr>
              <w:t>President, Consumer Packaging Division at Graphic Packaging Holding Company. Mr. Scherger joined Graphic Packaging Holding</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20"/>
                <w:szCs w:val="20"/>
                <w:color w:val="auto"/>
              </w:rPr>
            </w:pPr>
            <w:r>
              <w:rPr>
                <w:rFonts w:ascii="Arial" w:cs="Arial" w:eastAsia="Arial" w:hAnsi="Arial"/>
                <w:sz w:val="15"/>
                <w:szCs w:val="15"/>
                <w:color w:val="265E7C"/>
              </w:rPr>
              <w:t>•</w:t>
            </w:r>
          </w:p>
        </w:tc>
        <w:tc>
          <w:tcPr>
            <w:tcW w:w="1460" w:type="dxa"/>
            <w:vAlign w:val="bottom"/>
          </w:tcPr>
          <w:p>
            <w:pPr>
              <w:ind w:left="60"/>
              <w:spacing w:after="0"/>
              <w:rPr>
                <w:sz w:val="20"/>
                <w:szCs w:val="20"/>
                <w:color w:val="auto"/>
              </w:rPr>
            </w:pPr>
            <w:r>
              <w:rPr>
                <w:rFonts w:ascii="Arial" w:cs="Arial" w:eastAsia="Arial" w:hAnsi="Arial"/>
                <w:sz w:val="15"/>
                <w:szCs w:val="15"/>
                <w:color w:val="00304D"/>
              </w:rPr>
              <w:t>Compensation</w:t>
            </w:r>
          </w:p>
        </w:tc>
        <w:tc>
          <w:tcPr>
            <w:tcW w:w="9500" w:type="dxa"/>
            <w:vAlign w:val="bottom"/>
          </w:tcPr>
          <w:p>
            <w:pPr>
              <w:ind w:left="420"/>
              <w:spacing w:after="0"/>
              <w:rPr>
                <w:sz w:val="20"/>
                <w:szCs w:val="20"/>
                <w:color w:val="auto"/>
              </w:rPr>
            </w:pPr>
            <w:r>
              <w:rPr>
                <w:rFonts w:ascii="Arial" w:cs="Arial" w:eastAsia="Arial" w:hAnsi="Arial"/>
                <w:sz w:val="15"/>
                <w:szCs w:val="15"/>
                <w:color w:val="auto"/>
              </w:rPr>
              <w:t>Company in April of 2012 from MeadWestvaco Corporation, where he served as President, Beverage and Consumer Electronics. Mr.</w:t>
            </w:r>
          </w:p>
        </w:tc>
        <w:tc>
          <w:tcPr>
            <w:tcW w:w="0" w:type="dxa"/>
            <w:vAlign w:val="bottom"/>
          </w:tcPr>
          <w:p>
            <w:pPr>
              <w:spacing w:after="0"/>
              <w:rPr>
                <w:sz w:val="1"/>
                <w:szCs w:val="1"/>
                <w:color w:val="auto"/>
              </w:rPr>
            </w:pPr>
          </w:p>
        </w:tc>
      </w:tr>
      <w:tr>
        <w:trPr>
          <w:trHeight w:val="166"/>
        </w:trPr>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500" w:type="dxa"/>
            <w:vAlign w:val="bottom"/>
          </w:tcPr>
          <w:p>
            <w:pPr>
              <w:ind w:left="420"/>
              <w:spacing w:after="0" w:line="166" w:lineRule="exact"/>
              <w:rPr>
                <w:sz w:val="20"/>
                <w:szCs w:val="20"/>
                <w:color w:val="auto"/>
              </w:rPr>
            </w:pPr>
            <w:r>
              <w:rPr>
                <w:rFonts w:ascii="Arial" w:cs="Arial" w:eastAsia="Arial" w:hAnsi="Arial"/>
                <w:sz w:val="15"/>
                <w:szCs w:val="15"/>
                <w:color w:val="auto"/>
              </w:rPr>
              <w:t>Scherger was with MeadWestvaco Corporation from 1986 to 2012 and held positions including Vice President, Corporate Strategy;</w:t>
            </w:r>
          </w:p>
        </w:tc>
        <w:tc>
          <w:tcPr>
            <w:tcW w:w="0" w:type="dxa"/>
            <w:vAlign w:val="bottom"/>
          </w:tcPr>
          <w:p>
            <w:pPr>
              <w:spacing w:after="0"/>
              <w:rPr>
                <w:sz w:val="1"/>
                <w:szCs w:val="1"/>
                <w:color w:val="auto"/>
              </w:rPr>
            </w:pPr>
          </w:p>
        </w:tc>
      </w:tr>
    </w:tbl>
    <w:p>
      <w:pPr>
        <w:ind w:left="2080" w:right="80"/>
        <w:spacing w:after="0" w:line="263" w:lineRule="auto"/>
        <w:rPr>
          <w:sz w:val="20"/>
          <w:szCs w:val="20"/>
          <w:color w:val="auto"/>
        </w:rPr>
      </w:pPr>
      <w:r>
        <w:rPr>
          <w:rFonts w:ascii="Arial" w:cs="Arial" w:eastAsia="Arial" w:hAnsi="Arial"/>
          <w:sz w:val="15"/>
          <w:szCs w:val="15"/>
          <w:color w:val="auto"/>
        </w:rPr>
        <w:t>Vice President and General Manager, Beverage Packaging; Vice President and Chief Financial Officer, Papers Group, Vice President Asia Pacific and Latin America, Beverage Packaging, Chief Financial Officer Beverage Packaging and other executive-level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714121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0304D"/>
        </w:rPr>
        <w:t>Relevant skills</w:t>
      </w:r>
    </w:p>
    <w:p>
      <w:pPr>
        <w:spacing w:after="0" w:line="18" w:lineRule="exact"/>
        <w:rPr>
          <w:sz w:val="20"/>
          <w:szCs w:val="20"/>
          <w:color w:val="auto"/>
        </w:rPr>
      </w:pPr>
    </w:p>
    <w:p>
      <w:pPr>
        <w:jc w:val="both"/>
        <w:ind w:left="80" w:right="80"/>
        <w:spacing w:after="0" w:line="254" w:lineRule="auto"/>
        <w:rPr>
          <w:sz w:val="20"/>
          <w:szCs w:val="20"/>
          <w:color w:val="auto"/>
        </w:rPr>
      </w:pPr>
      <w:r>
        <w:rPr>
          <w:rFonts w:ascii="Arial" w:cs="Arial" w:eastAsia="Arial" w:hAnsi="Arial"/>
          <w:sz w:val="15"/>
          <w:szCs w:val="15"/>
          <w:color w:val="auto"/>
        </w:rPr>
        <w:t>Mr. Scherger is a multi-dimensional executive who brings extensive experience as both a public company Chief Financial Officer and a key business segment leader. He has been a key member of a C-suite at multiple companies and contributes valuable insights to the Board on driving growth, mergers and acquisitions, and asset productivity.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7141210"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17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00304D"/>
        </w:rPr>
        <w:t>Tejas P. Shah</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00" w:type="dxa"/>
            <w:vAlign w:val="bottom"/>
            <w:tcBorders>
              <w:top w:val="single" w:sz="8" w:color="002F4D"/>
            </w:tcBorders>
            <w:shd w:val="clear" w:color="auto" w:fill="E5ECF1"/>
          </w:tcPr>
          <w:p>
            <w:pPr>
              <w:ind w:left="80"/>
              <w:spacing w:after="0"/>
              <w:rPr>
                <w:sz w:val="20"/>
                <w:szCs w:val="20"/>
                <w:color w:val="auto"/>
              </w:rPr>
            </w:pPr>
            <w:r>
              <w:rPr>
                <w:rFonts w:ascii="Arial" w:cs="Arial" w:eastAsia="Arial" w:hAnsi="Arial"/>
                <w:sz w:val="15"/>
                <w:szCs w:val="15"/>
                <w:b w:val="1"/>
                <w:bCs w:val="1"/>
                <w:color w:val="00304D"/>
              </w:rPr>
              <w:t>Age: 46</w:t>
            </w:r>
          </w:p>
        </w:tc>
        <w:tc>
          <w:tcPr>
            <w:tcW w:w="9240" w:type="dxa"/>
            <w:vAlign w:val="bottom"/>
            <w:tcBorders>
              <w:top w:val="single" w:sz="8" w:color="002F4D"/>
            </w:tcBorders>
          </w:tcPr>
          <w:p>
            <w:pPr>
              <w:ind w:left="80"/>
              <w:spacing w:after="0"/>
              <w:rPr>
                <w:sz w:val="20"/>
                <w:szCs w:val="20"/>
                <w:color w:val="auto"/>
              </w:rPr>
            </w:pPr>
            <w:r>
              <w:rPr>
                <w:rFonts w:ascii="Arial" w:cs="Arial" w:eastAsia="Arial" w:hAnsi="Arial"/>
                <w:sz w:val="15"/>
                <w:szCs w:val="15"/>
                <w:b w:val="1"/>
                <w:bCs w:val="1"/>
                <w:color w:val="00304D"/>
              </w:rPr>
              <w:t>Professional background</w:t>
            </w:r>
          </w:p>
        </w:tc>
        <w:tc>
          <w:tcPr>
            <w:tcW w:w="0" w:type="dxa"/>
            <w:vAlign w:val="bottom"/>
          </w:tcPr>
          <w:p>
            <w:pPr>
              <w:spacing w:after="0"/>
              <w:rPr>
                <w:sz w:val="1"/>
                <w:szCs w:val="1"/>
                <w:color w:val="auto"/>
              </w:rPr>
            </w:pPr>
          </w:p>
        </w:tc>
      </w:tr>
      <w:tr>
        <w:trPr>
          <w:trHeight w:val="209"/>
        </w:trPr>
        <w:tc>
          <w:tcPr>
            <w:tcW w:w="2000" w:type="dxa"/>
            <w:vAlign w:val="bottom"/>
            <w:shd w:val="clear" w:color="auto" w:fill="E5ECF1"/>
          </w:tcPr>
          <w:p>
            <w:pPr>
              <w:ind w:left="80"/>
              <w:spacing w:after="0"/>
              <w:rPr>
                <w:sz w:val="20"/>
                <w:szCs w:val="20"/>
                <w:color w:val="auto"/>
              </w:rPr>
            </w:pPr>
            <w:r>
              <w:rPr>
                <w:rFonts w:ascii="Arial" w:cs="Arial" w:eastAsia="Arial" w:hAnsi="Arial"/>
                <w:sz w:val="15"/>
                <w:szCs w:val="15"/>
                <w:b w:val="1"/>
                <w:bCs w:val="1"/>
                <w:color w:val="00304D"/>
              </w:rPr>
              <w:t>Director</w:t>
            </w:r>
          </w:p>
        </w:tc>
        <w:tc>
          <w:tcPr>
            <w:tcW w:w="9240" w:type="dxa"/>
            <w:vAlign w:val="bottom"/>
          </w:tcPr>
          <w:p>
            <w:pPr>
              <w:ind w:left="80"/>
              <w:spacing w:after="0"/>
              <w:rPr>
                <w:sz w:val="20"/>
                <w:szCs w:val="20"/>
                <w:color w:val="auto"/>
              </w:rPr>
            </w:pPr>
            <w:r>
              <w:rPr>
                <w:rFonts w:ascii="Arial" w:cs="Arial" w:eastAsia="Arial" w:hAnsi="Arial"/>
                <w:sz w:val="15"/>
                <w:szCs w:val="15"/>
                <w:color w:val="auto"/>
              </w:rPr>
              <w:t>Since 2025, Mr. Shah serves as Founder and Chief Executive Officer of Palo Alto Labs, a management consulting firm specializing in</w:t>
            </w:r>
          </w:p>
        </w:tc>
        <w:tc>
          <w:tcPr>
            <w:tcW w:w="0" w:type="dxa"/>
            <w:vAlign w:val="bottom"/>
          </w:tcPr>
          <w:p>
            <w:pPr>
              <w:spacing w:after="0"/>
              <w:rPr>
                <w:sz w:val="1"/>
                <w:szCs w:val="1"/>
                <w:color w:val="auto"/>
              </w:rPr>
            </w:pPr>
          </w:p>
        </w:tc>
      </w:tr>
      <w:tr>
        <w:trPr>
          <w:trHeight w:val="177"/>
        </w:trPr>
        <w:tc>
          <w:tcPr>
            <w:tcW w:w="2000" w:type="dxa"/>
            <w:vAlign w:val="bottom"/>
            <w:shd w:val="clear" w:color="auto" w:fill="E5ECF1"/>
          </w:tcPr>
          <w:p>
            <w:pPr>
              <w:ind w:left="80"/>
              <w:spacing w:after="0"/>
              <w:rPr>
                <w:sz w:val="20"/>
                <w:szCs w:val="20"/>
                <w:color w:val="auto"/>
              </w:rPr>
            </w:pPr>
            <w:r>
              <w:rPr>
                <w:rFonts w:ascii="Arial" w:cs="Arial" w:eastAsia="Arial" w:hAnsi="Arial"/>
                <w:sz w:val="15"/>
                <w:szCs w:val="15"/>
                <w:b w:val="1"/>
                <w:bCs w:val="1"/>
                <w:color w:val="00304D"/>
              </w:rPr>
              <w:t xml:space="preserve">since: </w:t>
            </w:r>
            <w:r>
              <w:rPr>
                <w:rFonts w:ascii="Arial" w:cs="Arial" w:eastAsia="Arial" w:hAnsi="Arial"/>
                <w:sz w:val="15"/>
                <w:szCs w:val="15"/>
                <w:b w:val="1"/>
                <w:bCs w:val="1"/>
                <w:color w:val="265E7C"/>
              </w:rPr>
              <w:t>2024</w:t>
            </w:r>
          </w:p>
        </w:tc>
        <w:tc>
          <w:tcPr>
            <w:tcW w:w="9240" w:type="dxa"/>
            <w:vAlign w:val="bottom"/>
          </w:tcPr>
          <w:p>
            <w:pPr>
              <w:ind w:left="80"/>
              <w:spacing w:after="0"/>
              <w:rPr>
                <w:sz w:val="20"/>
                <w:szCs w:val="20"/>
                <w:color w:val="auto"/>
              </w:rPr>
            </w:pPr>
            <w:r>
              <w:rPr>
                <w:rFonts w:ascii="Arial" w:cs="Arial" w:eastAsia="Arial" w:hAnsi="Arial"/>
                <w:sz w:val="15"/>
                <w:szCs w:val="15"/>
                <w:color w:val="auto"/>
              </w:rPr>
              <w:t>AI-led product innovation and business transformation. From 2023 to 2025, Mr. Shah served as Chief Information Officer of Fluence</w:t>
            </w:r>
          </w:p>
        </w:tc>
        <w:tc>
          <w:tcPr>
            <w:tcW w:w="0" w:type="dxa"/>
            <w:vAlign w:val="bottom"/>
          </w:tcPr>
          <w:p>
            <w:pPr>
              <w:spacing w:after="0"/>
              <w:rPr>
                <w:sz w:val="1"/>
                <w:szCs w:val="1"/>
                <w:color w:val="auto"/>
              </w:rPr>
            </w:pPr>
          </w:p>
        </w:tc>
      </w:tr>
      <w:tr>
        <w:trPr>
          <w:trHeight w:val="164"/>
        </w:trPr>
        <w:tc>
          <w:tcPr>
            <w:tcW w:w="2000" w:type="dxa"/>
            <w:vAlign w:val="bottom"/>
            <w:vMerge w:val="restart"/>
            <w:shd w:val="clear" w:color="auto" w:fill="E5ECF1"/>
          </w:tcPr>
          <w:p>
            <w:pPr>
              <w:ind w:left="80"/>
              <w:spacing w:after="0"/>
              <w:rPr>
                <w:sz w:val="20"/>
                <w:szCs w:val="20"/>
                <w:color w:val="auto"/>
              </w:rPr>
            </w:pPr>
            <w:r>
              <w:rPr>
                <w:rFonts w:ascii="Arial" w:cs="Arial" w:eastAsia="Arial" w:hAnsi="Arial"/>
                <w:sz w:val="15"/>
                <w:szCs w:val="15"/>
                <w:b w:val="1"/>
                <w:bCs w:val="1"/>
                <w:i w:val="1"/>
                <w:iCs w:val="1"/>
                <w:color w:val="265E7C"/>
              </w:rPr>
              <w:t>INDEPENDENT</w:t>
            </w:r>
          </w:p>
        </w:tc>
        <w:tc>
          <w:tcPr>
            <w:tcW w:w="9240" w:type="dxa"/>
            <w:vAlign w:val="bottom"/>
          </w:tcPr>
          <w:p>
            <w:pPr>
              <w:ind w:left="80"/>
              <w:spacing w:after="0" w:line="164" w:lineRule="exact"/>
              <w:rPr>
                <w:sz w:val="20"/>
                <w:szCs w:val="20"/>
                <w:color w:val="auto"/>
              </w:rPr>
            </w:pPr>
            <w:r>
              <w:rPr>
                <w:rFonts w:ascii="Arial" w:cs="Arial" w:eastAsia="Arial" w:hAnsi="Arial"/>
                <w:sz w:val="15"/>
                <w:szCs w:val="15"/>
                <w:color w:val="auto"/>
              </w:rPr>
              <w:t>Energy Inc., a public company that provides market-leading energy storage products and services and cloud-based software for</w:t>
            </w:r>
          </w:p>
        </w:tc>
        <w:tc>
          <w:tcPr>
            <w:tcW w:w="0" w:type="dxa"/>
            <w:vAlign w:val="bottom"/>
          </w:tcPr>
          <w:p>
            <w:pPr>
              <w:spacing w:after="0"/>
              <w:rPr>
                <w:sz w:val="1"/>
                <w:szCs w:val="1"/>
                <w:color w:val="auto"/>
              </w:rPr>
            </w:pPr>
          </w:p>
        </w:tc>
      </w:tr>
      <w:tr>
        <w:trPr>
          <w:trHeight w:val="177"/>
        </w:trPr>
        <w:tc>
          <w:tcPr>
            <w:tcW w:w="2000" w:type="dxa"/>
            <w:vAlign w:val="bottom"/>
            <w:vMerge w:val="continue"/>
            <w:shd w:val="clear" w:color="auto" w:fill="E5ECF1"/>
          </w:tcPr>
          <w:p>
            <w:pPr>
              <w:spacing w:after="0"/>
              <w:rPr>
                <w:sz w:val="15"/>
                <w:szCs w:val="15"/>
                <w:color w:val="auto"/>
              </w:rPr>
            </w:pPr>
          </w:p>
        </w:tc>
        <w:tc>
          <w:tcPr>
            <w:tcW w:w="9240" w:type="dxa"/>
            <w:vAlign w:val="bottom"/>
          </w:tcPr>
          <w:p>
            <w:pPr>
              <w:ind w:left="80"/>
              <w:spacing w:after="0"/>
              <w:rPr>
                <w:sz w:val="20"/>
                <w:szCs w:val="20"/>
                <w:color w:val="auto"/>
              </w:rPr>
            </w:pPr>
            <w:r>
              <w:rPr>
                <w:rFonts w:ascii="Arial" w:cs="Arial" w:eastAsia="Arial" w:hAnsi="Arial"/>
                <w:sz w:val="15"/>
                <w:szCs w:val="15"/>
                <w:color w:val="auto"/>
              </w:rPr>
              <w:t>renewables and storage assets. From 2022 to 2023, Mr. Shah served as Chief Information Officer at Tonal. From 2018 to 2022, Mr.</w:t>
            </w:r>
          </w:p>
        </w:tc>
        <w:tc>
          <w:tcPr>
            <w:tcW w:w="0" w:type="dxa"/>
            <w:vAlign w:val="bottom"/>
          </w:tcPr>
          <w:p>
            <w:pPr>
              <w:spacing w:after="0"/>
              <w:rPr>
                <w:sz w:val="1"/>
                <w:szCs w:val="1"/>
                <w:color w:val="auto"/>
              </w:rPr>
            </w:pPr>
          </w:p>
        </w:tc>
      </w:tr>
      <w:tr>
        <w:trPr>
          <w:trHeight w:val="177"/>
        </w:trPr>
        <w:tc>
          <w:tcPr>
            <w:tcW w:w="2000" w:type="dxa"/>
            <w:vAlign w:val="bottom"/>
            <w:shd w:val="clear" w:color="auto" w:fill="E5ECF1"/>
          </w:tcPr>
          <w:p>
            <w:pPr>
              <w:ind w:left="80"/>
              <w:spacing w:after="0"/>
              <w:rPr>
                <w:sz w:val="20"/>
                <w:szCs w:val="20"/>
                <w:color w:val="auto"/>
              </w:rPr>
            </w:pPr>
            <w:r>
              <w:rPr>
                <w:rFonts w:ascii="Arial" w:cs="Arial" w:eastAsia="Arial" w:hAnsi="Arial"/>
                <w:sz w:val="15"/>
                <w:szCs w:val="15"/>
                <w:b w:val="1"/>
                <w:bCs w:val="1"/>
                <w:color w:val="00304D"/>
              </w:rPr>
              <w:t>Committees:</w:t>
            </w:r>
          </w:p>
        </w:tc>
        <w:tc>
          <w:tcPr>
            <w:tcW w:w="9240" w:type="dxa"/>
            <w:vAlign w:val="bottom"/>
          </w:tcPr>
          <w:p>
            <w:pPr>
              <w:ind w:left="80"/>
              <w:spacing w:after="0"/>
              <w:rPr>
                <w:sz w:val="20"/>
                <w:szCs w:val="20"/>
                <w:color w:val="auto"/>
              </w:rPr>
            </w:pPr>
            <w:r>
              <w:rPr>
                <w:rFonts w:ascii="Arial" w:cs="Arial" w:eastAsia="Arial" w:hAnsi="Arial"/>
                <w:sz w:val="15"/>
                <w:szCs w:val="15"/>
                <w:color w:val="auto"/>
              </w:rPr>
              <w:t>Shah served in various roles at Arlo Technologies Inc., where he was promoted from Chief Information Officer to Senior Vice President,</w:t>
            </w:r>
          </w:p>
        </w:tc>
        <w:tc>
          <w:tcPr>
            <w:tcW w:w="0" w:type="dxa"/>
            <w:vAlign w:val="bottom"/>
          </w:tcPr>
          <w:p>
            <w:pPr>
              <w:spacing w:after="0"/>
              <w:rPr>
                <w:sz w:val="1"/>
                <w:szCs w:val="1"/>
                <w:color w:val="auto"/>
              </w:rPr>
            </w:pPr>
          </w:p>
        </w:tc>
      </w:tr>
      <w:tr>
        <w:trPr>
          <w:trHeight w:val="245"/>
        </w:trPr>
        <w:tc>
          <w:tcPr>
            <w:tcW w:w="2000" w:type="dxa"/>
            <w:vAlign w:val="bottom"/>
            <w:tcBorders>
              <w:bottom w:val="single" w:sz="8" w:color="002F4D"/>
            </w:tcBorders>
            <w:shd w:val="clear" w:color="auto" w:fill="E5ECF1"/>
          </w:tcPr>
          <w:p>
            <w:pPr>
              <w:ind w:left="80"/>
              <w:spacing w:after="0"/>
              <w:rPr>
                <w:sz w:val="20"/>
                <w:szCs w:val="20"/>
                <w:color w:val="auto"/>
              </w:rPr>
            </w:pPr>
            <w:r>
              <w:rPr>
                <w:rFonts w:ascii="Arial" w:cs="Arial" w:eastAsia="Arial" w:hAnsi="Arial"/>
                <w:sz w:val="15"/>
                <w:szCs w:val="15"/>
                <w:color w:val="265E7C"/>
              </w:rPr>
              <w:t xml:space="preserve">•  </w:t>
            </w:r>
            <w:r>
              <w:rPr>
                <w:rFonts w:ascii="Arial" w:cs="Arial" w:eastAsia="Arial" w:hAnsi="Arial"/>
                <w:sz w:val="15"/>
                <w:szCs w:val="15"/>
                <w:color w:val="00304D"/>
              </w:rPr>
              <w:t>Audit</w:t>
            </w:r>
          </w:p>
        </w:tc>
        <w:tc>
          <w:tcPr>
            <w:tcW w:w="9240" w:type="dxa"/>
            <w:vAlign w:val="bottom"/>
            <w:tcBorders>
              <w:bottom w:val="single" w:sz="8" w:color="002F4D"/>
            </w:tcBorders>
          </w:tcPr>
          <w:p>
            <w:pPr>
              <w:ind w:left="80"/>
              <w:spacing w:after="0"/>
              <w:rPr>
                <w:sz w:val="20"/>
                <w:szCs w:val="20"/>
                <w:color w:val="auto"/>
              </w:rPr>
            </w:pPr>
            <w:r>
              <w:rPr>
                <w:rFonts w:ascii="Arial" w:cs="Arial" w:eastAsia="Arial" w:hAnsi="Arial"/>
                <w:sz w:val="15"/>
                <w:szCs w:val="15"/>
                <w:color w:val="auto"/>
              </w:rPr>
              <w:t>Product and Chief Information Officer, to Senior Vice President, Software, SaaS, and Services and Chief Information Officer.</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0304D"/>
        </w:rPr>
        <w:t>Service on private boards</w:t>
      </w:r>
    </w:p>
    <w:p>
      <w:pPr>
        <w:spacing w:after="0" w:line="18" w:lineRule="exact"/>
        <w:rPr>
          <w:sz w:val="20"/>
          <w:szCs w:val="20"/>
          <w:color w:val="auto"/>
        </w:rPr>
      </w:pPr>
    </w:p>
    <w:p>
      <w:pPr>
        <w:ind w:left="260" w:hanging="175"/>
        <w:spacing w:after="0"/>
        <w:tabs>
          <w:tab w:leader="none" w:pos="260" w:val="left"/>
        </w:tabs>
        <w:numPr>
          <w:ilvl w:val="0"/>
          <w:numId w:val="21"/>
        </w:numPr>
        <w:rPr>
          <w:rFonts w:ascii="Arial" w:cs="Arial" w:eastAsia="Arial" w:hAnsi="Arial"/>
          <w:sz w:val="15"/>
          <w:szCs w:val="15"/>
          <w:color w:val="265E7C"/>
        </w:rPr>
      </w:pPr>
      <w:r>
        <w:rPr>
          <w:rFonts w:ascii="Arial" w:cs="Arial" w:eastAsia="Arial" w:hAnsi="Arial"/>
          <w:sz w:val="15"/>
          <w:szCs w:val="15"/>
          <w:color w:val="00304D"/>
        </w:rPr>
        <w:t>Board advisor for Bugcrowd, Inc., crowdsourced cybersecurity platform (since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71412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46"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0304D"/>
        </w:rPr>
        <w:t>Relevant skills</w:t>
      </w:r>
    </w:p>
    <w:p>
      <w:pPr>
        <w:spacing w:after="0" w:line="18" w:lineRule="exact"/>
        <w:rPr>
          <w:sz w:val="20"/>
          <w:szCs w:val="20"/>
          <w:color w:val="auto"/>
        </w:rPr>
      </w:pPr>
    </w:p>
    <w:p>
      <w:pPr>
        <w:jc w:val="both"/>
        <w:ind w:left="80" w:right="80"/>
        <w:spacing w:after="0" w:line="254" w:lineRule="auto"/>
        <w:rPr>
          <w:sz w:val="20"/>
          <w:szCs w:val="20"/>
          <w:color w:val="auto"/>
        </w:rPr>
      </w:pPr>
      <w:r>
        <w:rPr>
          <w:rFonts w:ascii="Arial" w:cs="Arial" w:eastAsia="Arial" w:hAnsi="Arial"/>
          <w:sz w:val="15"/>
          <w:szCs w:val="15"/>
          <w:color w:val="auto"/>
        </w:rPr>
        <w:t>Mr. Shah brings experience in consumer product connectivity, which is highly complementary to current Middleby technology pursuits, and a strong track record of applying technology to shape different business models and growth strategies. His experience with advanced energy management is highly relevant as Middleby continues to develop customer solutions in electrification and decreased energy usage.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7141210" cy="1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Board has a policy that requires any director who does not receive a majority of votes cast in an uncontested election to promptly tender a resignation. The NCGC will consider any such resignation and recommend appropriate action to the Board. The Board is required to take formal action on the NCGC’s recommendation no later than 90 days following the date of the stockholders’ meeting at which the election of directors occurred. The Board will consider the information, factors, and alternatives reviewed by the NCGC and such additional information, factors, and alternatives as the Board deems relevant. Within four business days after the Board decides whether to accept or reject a director resignation, the Company will publicly disclose that decision in a Form 8-K filed with the Securities and Exchange Commission (“SEC”), including an explanation of the process by which the decision was made and, if applicable, the Board’s reason(s) for rejecting the tendered resignation.</w:t>
      </w:r>
    </w:p>
    <w:p>
      <w:pPr>
        <w:spacing w:after="0" w:line="327" w:lineRule="exact"/>
        <w:rPr>
          <w:sz w:val="20"/>
          <w:szCs w:val="20"/>
          <w:color w:val="auto"/>
        </w:rPr>
      </w:pPr>
    </w:p>
    <w:p>
      <w:pPr>
        <w:ind w:left="300" w:right="60"/>
        <w:spacing w:after="0" w:line="294" w:lineRule="auto"/>
        <w:rPr>
          <w:sz w:val="20"/>
          <w:szCs w:val="20"/>
          <w:color w:val="auto"/>
        </w:rPr>
      </w:pPr>
      <w:r>
        <w:rPr>
          <w:rFonts w:ascii="Arial" w:cs="Arial" w:eastAsia="Arial" w:hAnsi="Arial"/>
          <w:sz w:val="15"/>
          <w:szCs w:val="15"/>
          <w:b w:val="1"/>
          <w:bCs w:val="1"/>
          <w:i w:val="1"/>
          <w:iCs w:val="1"/>
          <w:color w:val="00304D"/>
        </w:rPr>
        <w:t>THE BOARD OF DIRECTORS RECOMMENDS THAT STOCKHOLDERS VOTE “FOR” EACH OF THE ABOVE NAMED NOMINEES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-259715</wp:posOffset>
            </wp:positionV>
            <wp:extent cx="160020" cy="1600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60020" cy="160020"/>
                    </a:xfrm>
                    <a:prstGeom prst="rect">
                      <a:avLst/>
                    </a:prstGeom>
                    <a:noFill/>
                  </pic:spPr>
                </pic:pic>
              </a:graphicData>
            </a:graphic>
          </wp:anchor>
        </w:drawing>
      </w:r>
    </w:p>
    <w:p>
      <w:pPr>
        <w:spacing w:after="0" w:line="88" w:lineRule="exact"/>
        <w:rPr>
          <w:sz w:val="20"/>
          <w:szCs w:val="20"/>
          <w:color w:val="auto"/>
        </w:rPr>
      </w:pPr>
    </w:p>
    <w:p>
      <w:pPr>
        <w:ind w:left="8960"/>
        <w:spacing w:after="0"/>
        <w:tabs>
          <w:tab w:leader="none" w:pos="1106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22" w:name="page23"/>
    <w:bookmarkEnd w:id="22"/>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matrix shows the diversity of relevant skills and experience among our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141210" cy="3053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1210" cy="3053715"/>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52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00304D"/>
              </w:rPr>
              <w:t>Competency</w:t>
            </w:r>
          </w:p>
        </w:tc>
        <w:tc>
          <w:tcPr>
            <w:tcW w:w="8720" w:type="dxa"/>
            <w:vAlign w:val="bottom"/>
            <w:tcBorders>
              <w:bottom w:val="single" w:sz="8" w:color="002F4D"/>
            </w:tcBorders>
          </w:tcPr>
          <w:p>
            <w:pPr>
              <w:ind w:left="300"/>
              <w:spacing w:after="0"/>
              <w:rPr>
                <w:sz w:val="20"/>
                <w:szCs w:val="20"/>
                <w:color w:val="auto"/>
              </w:rPr>
            </w:pPr>
            <w:r>
              <w:rPr>
                <w:rFonts w:ascii="Arial" w:cs="Arial" w:eastAsia="Arial" w:hAnsi="Arial"/>
                <w:sz w:val="15"/>
                <w:szCs w:val="15"/>
                <w:b w:val="1"/>
                <w:bCs w:val="1"/>
                <w:color w:val="00304D"/>
              </w:rPr>
              <w:t>Bowerman  Chapin  Eisenberg  FitzGerald  Garden   Hix   McCarthy  Nerbonne  O’Brien  Scherger  Shah</w:t>
            </w:r>
          </w:p>
        </w:tc>
      </w:tr>
      <w:tr>
        <w:trPr>
          <w:trHeight w:val="263"/>
        </w:trPr>
        <w:tc>
          <w:tcPr>
            <w:tcW w:w="2520" w:type="dxa"/>
            <w:vAlign w:val="bottom"/>
          </w:tcPr>
          <w:p>
            <w:pPr>
              <w:ind w:left="60"/>
              <w:spacing w:after="0"/>
              <w:rPr>
                <w:sz w:val="20"/>
                <w:szCs w:val="20"/>
                <w:color w:val="auto"/>
              </w:rPr>
            </w:pPr>
            <w:r>
              <w:rPr>
                <w:rFonts w:ascii="Arial" w:cs="Arial" w:eastAsia="Arial" w:hAnsi="Arial"/>
                <w:sz w:val="15"/>
                <w:szCs w:val="15"/>
                <w:b w:val="1"/>
                <w:bCs w:val="1"/>
                <w:i w:val="1"/>
                <w:iCs w:val="1"/>
                <w:color w:val="00304D"/>
              </w:rPr>
              <w:t>Senior Leadership Experience</w:t>
            </w:r>
          </w:p>
        </w:tc>
        <w:tc>
          <w:tcPr>
            <w:tcW w:w="8720" w:type="dxa"/>
            <w:vAlign w:val="bottom"/>
          </w:tcPr>
          <w:p>
            <w:pPr>
              <w:spacing w:after="0"/>
              <w:rPr>
                <w:sz w:val="22"/>
                <w:szCs w:val="22"/>
                <w:color w:val="auto"/>
              </w:rPr>
            </w:pPr>
          </w:p>
        </w:tc>
      </w:tr>
    </w:tbl>
    <w:p>
      <w:pPr>
        <w:spacing w:after="0" w:line="134"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00304D"/>
        </w:rPr>
        <w:t>Financial Expertise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00304D"/>
        </w:rPr>
        <w:t>Industry Knowledge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00304D"/>
        </w:rPr>
        <w:t>Risk &amp; Technology (Cyber, Al, IT)</w:t>
      </w:r>
    </w:p>
    <w:p>
      <w:pPr>
        <w:spacing w:after="0" w:line="118" w:lineRule="exact"/>
        <w:rPr>
          <w:sz w:val="20"/>
          <w:szCs w:val="20"/>
          <w:color w:val="auto"/>
        </w:rPr>
      </w:pPr>
    </w:p>
    <w:p>
      <w:pPr>
        <w:ind w:left="60" w:right="9220"/>
        <w:spacing w:after="0" w:line="294" w:lineRule="auto"/>
        <w:rPr>
          <w:sz w:val="20"/>
          <w:szCs w:val="20"/>
          <w:color w:val="auto"/>
        </w:rPr>
      </w:pPr>
      <w:r>
        <w:rPr>
          <w:rFonts w:ascii="Arial" w:cs="Arial" w:eastAsia="Arial" w:hAnsi="Arial"/>
          <w:sz w:val="15"/>
          <w:szCs w:val="15"/>
          <w:b w:val="1"/>
          <w:bCs w:val="1"/>
          <w:i w:val="1"/>
          <w:iCs w:val="1"/>
          <w:color w:val="00304D"/>
        </w:rPr>
        <w:t>Governance, Compliance &amp; Sustainability</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00304D"/>
        </w:rPr>
        <w:t>Strategic Planning</w:t>
      </w:r>
    </w:p>
    <w:p>
      <w:pPr>
        <w:spacing w:after="0" w:line="118"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00304D"/>
        </w:rPr>
        <w:t>Sales, Marketing, Branding, Social</w:t>
      </w:r>
    </w:p>
    <w:p>
      <w:pPr>
        <w:spacing w:after="0" w:line="18" w:lineRule="exact"/>
        <w:rPr>
          <w:sz w:val="20"/>
          <w:szCs w:val="20"/>
          <w:color w:val="auto"/>
        </w:rPr>
      </w:pPr>
    </w:p>
    <w:p>
      <w:pPr>
        <w:ind w:left="60" w:right="9160"/>
        <w:spacing w:after="0" w:line="429" w:lineRule="auto"/>
        <w:rPr>
          <w:sz w:val="20"/>
          <w:szCs w:val="20"/>
          <w:color w:val="auto"/>
        </w:rPr>
      </w:pPr>
      <w:r>
        <w:rPr>
          <w:rFonts w:ascii="Arial" w:cs="Arial" w:eastAsia="Arial" w:hAnsi="Arial"/>
          <w:sz w:val="15"/>
          <w:szCs w:val="15"/>
          <w:b w:val="1"/>
          <w:bCs w:val="1"/>
          <w:i w:val="1"/>
          <w:iCs w:val="1"/>
          <w:color w:val="00304D"/>
        </w:rPr>
        <w:t>Media &amp; Digital Engagement Mergers &amp; Acquisitions</w:t>
      </w:r>
    </w:p>
    <w:p>
      <w:pPr>
        <w:ind w:left="60" w:right="8600"/>
        <w:spacing w:after="0" w:line="486" w:lineRule="auto"/>
        <w:rPr>
          <w:sz w:val="20"/>
          <w:szCs w:val="20"/>
          <w:color w:val="auto"/>
        </w:rPr>
      </w:pPr>
      <w:r>
        <w:rPr>
          <w:rFonts w:ascii="Arial" w:cs="Arial" w:eastAsia="Arial" w:hAnsi="Arial"/>
          <w:sz w:val="15"/>
          <w:szCs w:val="15"/>
          <w:b w:val="1"/>
          <w:bCs w:val="1"/>
          <w:i w:val="1"/>
          <w:iCs w:val="1"/>
          <w:color w:val="00304D"/>
        </w:rPr>
        <w:t>International Markets Human Capital &amp; Succession Stockholder Engagement Investment &amp; Portfolio Management Technology Experience</w:t>
      </w:r>
    </w:p>
    <w:p>
      <w:pPr>
        <w:spacing w:after="0" w:line="84"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NCGC’s policy is to consider any candidate recommended by stockholders by evaluating the needs of the Board and the qualifications of the candidate. The NCGC may establish formal procedures regarding stockholder submission of candidates in the future.</w:t>
      </w:r>
    </w:p>
    <w:p>
      <w:pPr>
        <w:spacing w:after="0" w:line="12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0" w:lineRule="exact"/>
        <w:rPr>
          <w:sz w:val="20"/>
          <w:szCs w:val="20"/>
          <w:color w:val="auto"/>
        </w:rPr>
      </w:pPr>
    </w:p>
    <w:p>
      <w:pPr>
        <w:spacing w:after="0"/>
        <w:rPr>
          <w:sz w:val="20"/>
          <w:szCs w:val="20"/>
          <w:color w:val="auto"/>
        </w:rPr>
      </w:pPr>
      <w:r>
        <w:rPr>
          <w:rFonts w:ascii="Arial" w:cs="Arial" w:eastAsia="Arial" w:hAnsi="Arial"/>
          <w:sz w:val="34"/>
          <w:szCs w:val="34"/>
          <w:b w:val="1"/>
          <w:bCs w:val="1"/>
          <w:color w:val="00304D"/>
        </w:rPr>
        <w:t>Governance</w:t>
      </w:r>
    </w:p>
    <w:p>
      <w:pPr>
        <w:spacing w:after="0" w:line="200" w:lineRule="exact"/>
        <w:rPr>
          <w:sz w:val="20"/>
          <w:szCs w:val="20"/>
          <w:color w:val="auto"/>
        </w:rPr>
      </w:pP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This section summarizes the Board’s responsibilities and significant policies. For more complete information, see Middleby’s Corporate Governance Guidelines, which are available on our website, www.middleby.com, under “Investors—Corporate Governance.”</w:t>
      </w:r>
    </w:p>
    <w:p>
      <w:pPr>
        <w:spacing w:after="0" w:line="230"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Board Leadership Structure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Board oversees management’s performance to help ensure that Middleby operates in an effective, efficient, and ethical manner in order to produce value for our stockholders. To achieve this goal, the Board monitors both the performance of the Company (in relation to goals, strategy, and competitors) and the performance of the Chief Executive Officer, and offers constructive advice and feedback.</w:t>
      </w:r>
    </w:p>
    <w:p>
      <w:pPr>
        <w:spacing w:after="0" w:line="13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Our Corporate Governance Guidelines require the offices of the Chairman of the Board and the Chief Executive Officer to be separate. We believe having an independent director serve as Chairman of the Board best serves the Company and our stockholders, as we believe this leadership structure provides a broader depth of experience that informs strategy, strengthens the Board’s integrity and independence, and reduces potential conflicts in the areas of performance evaluation, executive compensation, succession planning, and the recruitment of new directors.</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Currently, the Board is led by Gordon J. O’Brien, who has been Middleby’s independent Chairman since February 2019. Mr. O’Brien previously served as Lead Independent Director of the Board for nine years. In his capacity as independent Chairman of the Board, Mr. O’Brien is able to focus on and tangibly oversee Middleby’s senior management (including the CEO), Board leadership, and governance-related matters, while Mr. FitzGerald, our CEO, is able to exclusively focus on the Company’s strategy, day-to-day operations, and financial organizational health. Mr. O’Brien’s long-term relationship with Middleby and extensive knowledge of the Company’s operating structure and culture provides him with a broad and deep perspective that informs his judgment.</w:t>
      </w:r>
    </w:p>
    <w:p>
      <w:pPr>
        <w:spacing w:after="0" w:line="249"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Independence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A majority of Middleby’s directors must be “independent” as such term is defined under Nasdaq listing standards. The Board reviews annually the relationships that each director has with the Company (either directly or as a partner, stockholder, or officer of an organization that has a relationship with the Company). The Board has determined that every director except Mr. FitzGerald, our CEO, is independent.</w:t>
      </w:r>
    </w:p>
    <w:p>
      <w:pPr>
        <w:spacing w:after="0" w:line="243"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Risk Oversight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Board has responsibility for oversight of risk management including with respect to cybersecurity threats, artificial intelligence adoption, supply chain disruption, and regulatory change. The Board and its committees regularly review information regarding Middleby’s credit, liquidity, and operations and other reports that are designed to inform the Board and its committees about how we identify, assess, and manage critical risks and our risk mitigation strategies.</w:t>
      </w:r>
    </w:p>
    <w:p>
      <w:pPr>
        <w:spacing w:after="0" w:line="138" w:lineRule="exact"/>
        <w:rPr>
          <w:sz w:val="20"/>
          <w:szCs w:val="20"/>
          <w:color w:val="auto"/>
        </w:rPr>
      </w:pPr>
    </w:p>
    <w:p>
      <w:pPr>
        <w:jc w:val="both"/>
        <w:spacing w:after="0" w:line="282" w:lineRule="auto"/>
        <w:rPr>
          <w:sz w:val="20"/>
          <w:szCs w:val="20"/>
          <w:color w:val="auto"/>
        </w:rPr>
      </w:pPr>
      <w:r>
        <w:rPr>
          <w:rFonts w:ascii="Arial" w:cs="Arial" w:eastAsia="Arial" w:hAnsi="Arial"/>
          <w:sz w:val="15"/>
          <w:szCs w:val="15"/>
          <w:b w:val="1"/>
          <w:bCs w:val="1"/>
          <w:color w:val="00304D"/>
        </w:rPr>
        <w:t xml:space="preserve">The Compensation Committee </w:t>
      </w:r>
      <w:r>
        <w:rPr>
          <w:rFonts w:ascii="Arial" w:cs="Arial" w:eastAsia="Arial" w:hAnsi="Arial"/>
          <w:sz w:val="15"/>
          <w:szCs w:val="15"/>
          <w:color w:val="000000"/>
        </w:rPr>
        <w:t>is responsible for overseeing the management of risks relating to our executive compensation plans, Board of Directors compensation,</w:t>
      </w:r>
      <w:r>
        <w:rPr>
          <w:rFonts w:ascii="Arial" w:cs="Arial" w:eastAsia="Arial" w:hAnsi="Arial"/>
          <w:sz w:val="15"/>
          <w:szCs w:val="15"/>
          <w:b w:val="1"/>
          <w:bCs w:val="1"/>
          <w:color w:val="00304D"/>
        </w:rPr>
        <w:t xml:space="preserve"> </w:t>
      </w:r>
      <w:r>
        <w:rPr>
          <w:rFonts w:ascii="Arial" w:cs="Arial" w:eastAsia="Arial" w:hAnsi="Arial"/>
          <w:sz w:val="15"/>
          <w:szCs w:val="15"/>
          <w:color w:val="000000"/>
        </w:rPr>
        <w:t>and executive incentive plan design.</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b w:val="1"/>
          <w:bCs w:val="1"/>
          <w:color w:val="00304D"/>
        </w:rPr>
        <w:t xml:space="preserve">The Audit Committee </w:t>
      </w:r>
      <w:r>
        <w:rPr>
          <w:rFonts w:ascii="Arial" w:cs="Arial" w:eastAsia="Arial" w:hAnsi="Arial"/>
          <w:sz w:val="15"/>
          <w:szCs w:val="15"/>
          <w:color w:val="000000"/>
        </w:rPr>
        <w:t>oversees management of financial risks, financial reporting, disclosure requirements, internal controls over financial reporting, credit and liquidity</w:t>
      </w:r>
      <w:r>
        <w:rPr>
          <w:rFonts w:ascii="Arial" w:cs="Arial" w:eastAsia="Arial" w:hAnsi="Arial"/>
          <w:sz w:val="15"/>
          <w:szCs w:val="15"/>
          <w:b w:val="1"/>
          <w:bCs w:val="1"/>
          <w:color w:val="00304D"/>
        </w:rPr>
        <w:t xml:space="preserve"> </w:t>
      </w:r>
      <w:r>
        <w:rPr>
          <w:rFonts w:ascii="Arial" w:cs="Arial" w:eastAsia="Arial" w:hAnsi="Arial"/>
          <w:sz w:val="15"/>
          <w:szCs w:val="15"/>
          <w:color w:val="000000"/>
        </w:rPr>
        <w:t>matters, and our operational infrastructure. In addition, the Audit Committee is responsible for oversight of cybersecurity risk management, regulatory matters, and compliance programs. It oversees the Company’s cybersecurity and information security program and receives periodic updates from senior management on cybersecurity and information security matters.</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5"/>
          <w:szCs w:val="15"/>
          <w:b w:val="1"/>
          <w:bCs w:val="1"/>
          <w:color w:val="00304D"/>
        </w:rPr>
        <w:t xml:space="preserve">The Nominating and Corporate Governance Committee </w:t>
      </w:r>
      <w:r>
        <w:rPr>
          <w:rFonts w:ascii="Arial" w:cs="Arial" w:eastAsia="Arial" w:hAnsi="Arial"/>
          <w:sz w:val="15"/>
          <w:szCs w:val="15"/>
          <w:color w:val="000000"/>
        </w:rPr>
        <w:t>is responsible for evaluating risk associated with director and management succession planning, overseeing</w:t>
      </w:r>
      <w:r>
        <w:rPr>
          <w:rFonts w:ascii="Arial" w:cs="Arial" w:eastAsia="Arial" w:hAnsi="Arial"/>
          <w:sz w:val="15"/>
          <w:szCs w:val="15"/>
          <w:b w:val="1"/>
          <w:bCs w:val="1"/>
          <w:color w:val="00304D"/>
        </w:rPr>
        <w:t xml:space="preserve"> </w:t>
      </w:r>
      <w:r>
        <w:rPr>
          <w:rFonts w:ascii="Arial" w:cs="Arial" w:eastAsia="Arial" w:hAnsi="Arial"/>
          <w:sz w:val="15"/>
          <w:szCs w:val="15"/>
          <w:color w:val="000000"/>
        </w:rPr>
        <w:t>our sustainability reporting, maintaining director training programs, and evaluating the Company’s environmental, social and governance policies and initiatives.</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Management advises the Board about material risks as part of its broader responsibility to keep the Board well informed on all matters of significance to the Company. The Board believes its current leadership structure facilitates this clear delineation of responsibility with respect to risk management. Additionally, maintaining an independent Board with an independent Chairman promotes open discussion and assessment of the Company’s ability to manage risk.</w:t>
      </w:r>
    </w:p>
    <w:p>
      <w:pPr>
        <w:spacing w:after="0" w:line="13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5"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Annual Board Evaluation and Skillset Assessment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NCGC coordinates an annual evaluation and skillset assessment of the Board as a whole and of each Board committee. The assessment includes a review of any areas in which the Board or management believe the Board can make a better contribution to the Company. The NCGC utilizes third party experts to conduct skillset assessments in the context of the Company’s overall corporate strategy. The NCGC discusses the results of the evaluation and skillset assessment with the full Board and each individual committee. In addition, the results are used to evaluate and determine the characteristics and critical skills required of prospective candidates for election to the Board and to make recommendations with respect to assignments of directors to various committees and leadership positions.</w:t>
      </w:r>
    </w:p>
    <w:p>
      <w:pPr>
        <w:spacing w:after="0" w:line="249"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Stockholder Engagement</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We believe it is important for our governance process to have meaningful engagement with our stockholders and to understand their perspectives on corporate governance, executive compensation, and other issues that are important to them and to the Company.</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value opportunities to proactively engage directly with our stockholders on topics of concern or interest, and use that feedback directly to inform our business decision-making process. The Company regularly shares information with stockholders via quarterly earnings releases, investor presentations posted on Middleby’s website, and attendance at investor conferences, trade shows, and other industry events.</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Beginning in 2019, the Company has annually engaged in an open dialogue with stockholders to help ensure leadership was hearing stockholder perspectives regarding our executive compensation practices, sustainability practices, and other topics of stockholder interest. We strive to reach out to holders of at least 75% of the Company’s common stock and to have meetings with holders of at least 25% of the Company’s common stock. These meetings are typically scheduled in the first quarter to inform decision-making and priorities for the upcoming fiscal year. Meetings are usually attended by the CFO and General Counsel and one or more Board members upon stockholder request.</w:t>
      </w:r>
    </w:p>
    <w:p>
      <w:pPr>
        <w:spacing w:after="0" w:line="144"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 March 2026, we engaged with stockholders to discuss the Company’s sustainability initiatives and to request feedback generally from our stockholders. For this outreach program, we contacted Middleby’s top 25 stockholders, representing approximately 87% of our total outstanding shares. We conducted meetings with stockholders representing approximately 48.9% of our outstanding shares. Stockholders representing approximately 13.4% of our outstanding shares responded that they appreciated the opportunity to connect but had no substantial concerns with the Company’s compensation and governance programs to merit further discussion.</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Among other things, we discussed our sustainability reporting practices and processes designed to provide information to the Company’s decision makers and stakeholders to drive stockholder value and fulfill the expectations of our stakeholders. Our investors encouraged us to continue evolving our sustainability reporting to meet customer, investor and regulatory expectations and requirements.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Our investors also encouraged us to continue to emphasize how our product innovations drive sustainable solutions for our customers.</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Our engagement efforts gave us valuable insight that has helped to inform the Company’s business practices and strategic decision-making. We will continue our stockholder engagement program annually with the goal of evolving our practices to best meet the needs of the Company and our stakeholders.</w:t>
      </w:r>
    </w:p>
    <w:p>
      <w:pPr>
        <w:spacing w:after="0" w:line="230"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Cooperation Agreement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On January 6, 2026, the Company entered into an Amendment to Cooperation Agreement (the “Amendment to Cooperation Agreement”) with Garden Investment Management, L.P. (“GI”). Pursuant to the Amendment to Cooperation Agreement, the Company agreed to include Mr. Garden in the Company’s slate of nominees for the election of directors at the Company’s 2026 Annual Meeting of Stockholders.</w:t>
      </w:r>
    </w:p>
    <w:p>
      <w:pPr>
        <w:spacing w:after="0" w:line="13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Under the terms of the Amendment to Cooperation Agreement: (i) GI will continue to abide by customary standstill restrictions (subjects to certain exceptions relating to private communications to the Company, among others) until the expiration of the Standstill Period (as defined in the Amendment to Cooperation Agreement); (ii) GI agreed to certain voting commitments with respect to the 2026 Annual Meeting of Stockholders; and (iii) the Company and GI agreed to continue to abide by a customary mutual non-disparagement provision.</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A summary of the Amendment to Cooperation Agreement is included in the Company’s Current Report on Form 8-K, filed with the SEC on January 6, 2026 (the “Form 8-K”). The full Amendment to Cooperation Agreement is filed as Exhibit 10.1 to the Form 8-K.</w:t>
      </w:r>
    </w:p>
    <w:p>
      <w:pPr>
        <w:spacing w:after="0" w:line="230"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Director Onboarding and Continuing Education</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Company provides new directors with an orientation program to familiarize them with our business; strategic plans; significant financial, accounting, and risk-management issues; compliance programs; conflicts policies; Code of Conduct; Corporate Governance Guidelines; principal officers; and internal auditors and independent registered public accountants. Board members who have not been associated with a publicly traded company previously also are required to attend public company director education selected by the NCGC.</w:t>
      </w:r>
    </w:p>
    <w:p>
      <w:pPr>
        <w:spacing w:after="0" w:line="14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25" w:name="page26"/>
    <w:bookmarkEnd w:id="25"/>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Every director is expected to participate in continuing educational programs in order to maintain the necessary level of expertise to function as a director. The NCGC requires all standing Board members to maintain membership with the National Association of Corporate Directors (“NACD”) and annually arranges for Board members to attend NACD training programs and other corporate governance training initiatives. The Company pays all reasonable expenses relating to continuing director education.</w:t>
      </w:r>
    </w:p>
    <w:p>
      <w:pPr>
        <w:spacing w:after="0" w:line="247"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Succession Planning</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Board is responsible for succession planning for the Chief Executive Officer and other executive officers. The Board of Directors and the Chief Executive Officer meet in a private session two times each fiscal year to discuss succession planning, a review of the executive management team, executive development initiatives, and other executive matters. The Chairperson of the NCGC acts as the Chairperson and maintains minutes of these succession planning meetings.</w:t>
      </w:r>
    </w:p>
    <w:p>
      <w:pPr>
        <w:spacing w:after="0" w:line="243"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Board Meetings</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Board held three in-person meetings and twenty-six virtual meetings during the fiscal year ended January 3, 2026. Directors collectively had 97% attendance at full Board meetings and 95% attendance when including attendance at committee meetings. Executive sessions of the independent directors are held in conjunction with regularly scheduled meetings of the Board and otherwise as deemed necessary. The independent directors met in executive session six times without the presence of management.</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Directors are expected to physically or virtually attend the annual meeting of stockholders. All of the directors at the time virtually attended the 2025 Annual Meeting of Stockholders.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The independent directors are required, unless waived by the Board, to attend an annual strategic review meeting in the third or fourth quarter each year.</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Members of senior management who are not directors may be invited to participate in Board meetings or other Board functions when appropriate. The Board encourages the Chief Executive Officer to bring members of management from time to time into Board meetings to provide insight into items being discussed by the Board, to make presentations to the Board on particular matters, and to help ensure the Board has an opportunity to interact with managers who have significant potential.</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Committees of the Board</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Middleby’s Board currently has an Audit Committee, established in accordance with Section 3(a)(58)(A) of the Securities Exchange Act of 1934 (as amended, the “Exchange Act”), a Compensation Committee, and a Nominating and Corporate Governance Committee. The charters for these three committees are available on our website, www.middleby.com, on the “Investors—Corporate Governance” page. All three committees are composed entirely of independent directors. The Board and each committee actively oversees management of risks as discussed further, in “Governance–</w:t>
      </w:r>
      <w:r>
        <w:rPr>
          <w:rFonts w:ascii="Arial" w:cs="Arial" w:eastAsia="Arial" w:hAnsi="Arial"/>
          <w:sz w:val="15"/>
          <w:szCs w:val="15"/>
          <w:i w:val="1"/>
          <w:iCs w:val="1"/>
          <w:color w:val="auto"/>
        </w:rPr>
        <w:t>Risk Oversight</w:t>
      </w:r>
      <w:r>
        <w:rPr>
          <w:rFonts w:ascii="Arial" w:cs="Arial" w:eastAsia="Arial" w:hAnsi="Arial"/>
          <w:sz w:val="15"/>
          <w:szCs w:val="15"/>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00304D"/>
        </w:rPr>
        <w:t>Audit Committee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40" w:type="dxa"/>
            <w:vAlign w:val="bottom"/>
            <w:tcBorders>
              <w:top w:val="single" w:sz="8" w:color="00304D"/>
            </w:tcBorders>
            <w:shd w:val="clear" w:color="auto" w:fill="E5ECF1"/>
          </w:tcPr>
          <w:p>
            <w:pPr>
              <w:ind w:left="60"/>
              <w:spacing w:after="0"/>
              <w:rPr>
                <w:sz w:val="20"/>
                <w:szCs w:val="20"/>
                <w:color w:val="auto"/>
              </w:rPr>
            </w:pPr>
            <w:r>
              <w:rPr>
                <w:rFonts w:ascii="Arial" w:cs="Arial" w:eastAsia="Arial" w:hAnsi="Arial"/>
                <w:sz w:val="15"/>
                <w:szCs w:val="15"/>
                <w:b w:val="1"/>
                <w:bCs w:val="1"/>
                <w:color w:val="00304D"/>
              </w:rPr>
              <w:t>Members:</w:t>
            </w:r>
          </w:p>
        </w:tc>
        <w:tc>
          <w:tcPr>
            <w:tcW w:w="9200" w:type="dxa"/>
            <w:vAlign w:val="bottom"/>
            <w:tcBorders>
              <w:top w:val="single" w:sz="8" w:color="00304D"/>
            </w:tcBorders>
            <w:gridSpan w:val="2"/>
          </w:tcPr>
          <w:p>
            <w:pPr>
              <w:ind w:left="100"/>
              <w:spacing w:after="0"/>
              <w:rPr>
                <w:sz w:val="20"/>
                <w:szCs w:val="20"/>
                <w:color w:val="auto"/>
              </w:rPr>
            </w:pPr>
            <w:r>
              <w:rPr>
                <w:rFonts w:ascii="Arial" w:cs="Arial" w:eastAsia="Arial" w:hAnsi="Arial"/>
                <w:sz w:val="15"/>
                <w:szCs w:val="15"/>
                <w:b w:val="1"/>
                <w:bCs w:val="1"/>
                <w:color w:val="00304D"/>
              </w:rPr>
              <w:t>The Audit Committee is responsible for:</w:t>
            </w:r>
          </w:p>
        </w:tc>
      </w:tr>
      <w:tr>
        <w:trPr>
          <w:trHeight w:val="177"/>
        </w:trPr>
        <w:tc>
          <w:tcPr>
            <w:tcW w:w="2040" w:type="dxa"/>
            <w:vAlign w:val="bottom"/>
            <w:shd w:val="clear" w:color="auto" w:fill="E5ECF1"/>
          </w:tcPr>
          <w:p>
            <w:pPr>
              <w:ind w:left="60"/>
              <w:spacing w:after="0"/>
              <w:rPr>
                <w:sz w:val="20"/>
                <w:szCs w:val="20"/>
                <w:color w:val="auto"/>
              </w:rPr>
            </w:pPr>
            <w:r>
              <w:rPr>
                <w:rFonts w:ascii="Arial" w:cs="Arial" w:eastAsia="Arial" w:hAnsi="Arial"/>
                <w:sz w:val="15"/>
                <w:szCs w:val="15"/>
                <w:color w:val="265E7C"/>
              </w:rPr>
              <w:t xml:space="preserve">• </w:t>
            </w:r>
            <w:r>
              <w:rPr>
                <w:rFonts w:ascii="Arial" w:cs="Arial" w:eastAsia="Arial" w:hAnsi="Arial"/>
                <w:sz w:val="15"/>
                <w:szCs w:val="15"/>
                <w:color w:val="00304D"/>
              </w:rPr>
              <w:t>McCarthy (Chairperson),</w:t>
            </w:r>
          </w:p>
        </w:tc>
        <w:tc>
          <w:tcPr>
            <w:tcW w:w="200" w:type="dxa"/>
            <w:vAlign w:val="bottom"/>
          </w:tcPr>
          <w:p>
            <w:pPr>
              <w:ind w:left="100"/>
              <w:spacing w:after="0"/>
              <w:rPr>
                <w:sz w:val="20"/>
                <w:szCs w:val="20"/>
                <w:color w:val="auto"/>
              </w:rPr>
            </w:pPr>
            <w:r>
              <w:rPr>
                <w:rFonts w:ascii="Arial" w:cs="Arial" w:eastAsia="Arial" w:hAnsi="Arial"/>
                <w:sz w:val="15"/>
                <w:szCs w:val="15"/>
                <w:color w:val="265E7C"/>
              </w:rPr>
              <w:t>•</w:t>
            </w:r>
          </w:p>
        </w:tc>
        <w:tc>
          <w:tcPr>
            <w:tcW w:w="9000" w:type="dxa"/>
            <w:vAlign w:val="bottom"/>
          </w:tcPr>
          <w:p>
            <w:pPr>
              <w:ind w:left="40"/>
              <w:spacing w:after="0"/>
              <w:rPr>
                <w:sz w:val="20"/>
                <w:szCs w:val="20"/>
                <w:color w:val="auto"/>
              </w:rPr>
            </w:pPr>
            <w:r>
              <w:rPr>
                <w:rFonts w:ascii="Arial" w:cs="Arial" w:eastAsia="Arial" w:hAnsi="Arial"/>
                <w:sz w:val="15"/>
                <w:szCs w:val="15"/>
                <w:color w:val="00304D"/>
              </w:rPr>
              <w:t>selecting Middleby’s independent registered public accountants;</w:t>
            </w:r>
          </w:p>
        </w:tc>
      </w:tr>
      <w:tr>
        <w:trPr>
          <w:trHeight w:val="177"/>
        </w:trPr>
        <w:tc>
          <w:tcPr>
            <w:tcW w:w="2040" w:type="dxa"/>
            <w:vAlign w:val="bottom"/>
            <w:shd w:val="clear" w:color="auto" w:fill="E5ECF1"/>
          </w:tcPr>
          <w:p>
            <w:pPr>
              <w:ind w:left="200"/>
              <w:spacing w:after="0"/>
              <w:rPr>
                <w:sz w:val="20"/>
                <w:szCs w:val="20"/>
                <w:color w:val="auto"/>
              </w:rPr>
            </w:pPr>
            <w:r>
              <w:rPr>
                <w:rFonts w:ascii="Arial" w:cs="Arial" w:eastAsia="Arial" w:hAnsi="Arial"/>
                <w:sz w:val="15"/>
                <w:szCs w:val="15"/>
                <w:color w:val="00304D"/>
              </w:rPr>
              <w:t>Hix*, Scherger, Shah and</w:t>
            </w:r>
          </w:p>
        </w:tc>
        <w:tc>
          <w:tcPr>
            <w:tcW w:w="200" w:type="dxa"/>
            <w:vAlign w:val="bottom"/>
          </w:tcPr>
          <w:p>
            <w:pPr>
              <w:ind w:left="100"/>
              <w:spacing w:after="0"/>
              <w:rPr>
                <w:sz w:val="20"/>
                <w:szCs w:val="20"/>
                <w:color w:val="auto"/>
              </w:rPr>
            </w:pPr>
            <w:r>
              <w:rPr>
                <w:rFonts w:ascii="Arial" w:cs="Arial" w:eastAsia="Arial" w:hAnsi="Arial"/>
                <w:sz w:val="15"/>
                <w:szCs w:val="15"/>
                <w:color w:val="265E7C"/>
              </w:rPr>
              <w:t>•</w:t>
            </w:r>
          </w:p>
        </w:tc>
        <w:tc>
          <w:tcPr>
            <w:tcW w:w="9000" w:type="dxa"/>
            <w:vAlign w:val="bottom"/>
          </w:tcPr>
          <w:p>
            <w:pPr>
              <w:ind w:left="40"/>
              <w:spacing w:after="0"/>
              <w:rPr>
                <w:sz w:val="20"/>
                <w:szCs w:val="20"/>
                <w:color w:val="auto"/>
              </w:rPr>
            </w:pPr>
            <w:r>
              <w:rPr>
                <w:rFonts w:ascii="Arial" w:cs="Arial" w:eastAsia="Arial" w:hAnsi="Arial"/>
                <w:sz w:val="15"/>
                <w:szCs w:val="15"/>
                <w:color w:val="00304D"/>
              </w:rPr>
              <w:t>reviewing the arrangements for and scope of the audit and pre-approving permitted non-audit services;</w:t>
            </w:r>
          </w:p>
        </w:tc>
      </w:tr>
      <w:tr>
        <w:trPr>
          <w:trHeight w:val="177"/>
        </w:trPr>
        <w:tc>
          <w:tcPr>
            <w:tcW w:w="2040" w:type="dxa"/>
            <w:vAlign w:val="bottom"/>
            <w:shd w:val="clear" w:color="auto" w:fill="E5ECF1"/>
          </w:tcPr>
          <w:p>
            <w:pPr>
              <w:ind w:left="200"/>
              <w:spacing w:after="0"/>
              <w:rPr>
                <w:sz w:val="20"/>
                <w:szCs w:val="20"/>
                <w:color w:val="auto"/>
              </w:rPr>
            </w:pPr>
            <w:r>
              <w:rPr>
                <w:rFonts w:ascii="Arial" w:cs="Arial" w:eastAsia="Arial" w:hAnsi="Arial"/>
                <w:sz w:val="15"/>
                <w:szCs w:val="15"/>
                <w:color w:val="00304D"/>
              </w:rPr>
              <w:t>Ziyad**</w:t>
            </w:r>
          </w:p>
        </w:tc>
        <w:tc>
          <w:tcPr>
            <w:tcW w:w="200" w:type="dxa"/>
            <w:vAlign w:val="bottom"/>
          </w:tcPr>
          <w:p>
            <w:pPr>
              <w:ind w:left="100"/>
              <w:spacing w:after="0"/>
              <w:rPr>
                <w:sz w:val="20"/>
                <w:szCs w:val="20"/>
                <w:color w:val="auto"/>
              </w:rPr>
            </w:pPr>
            <w:r>
              <w:rPr>
                <w:rFonts w:ascii="Arial" w:cs="Arial" w:eastAsia="Arial" w:hAnsi="Arial"/>
                <w:sz w:val="15"/>
                <w:szCs w:val="15"/>
                <w:color w:val="265E7C"/>
              </w:rPr>
              <w:t>•</w:t>
            </w:r>
          </w:p>
        </w:tc>
        <w:tc>
          <w:tcPr>
            <w:tcW w:w="9000" w:type="dxa"/>
            <w:vAlign w:val="bottom"/>
          </w:tcPr>
          <w:p>
            <w:pPr>
              <w:ind w:left="40"/>
              <w:spacing w:after="0"/>
              <w:rPr>
                <w:sz w:val="20"/>
                <w:szCs w:val="20"/>
                <w:color w:val="auto"/>
              </w:rPr>
            </w:pPr>
            <w:r>
              <w:rPr>
                <w:rFonts w:ascii="Arial" w:cs="Arial" w:eastAsia="Arial" w:hAnsi="Arial"/>
                <w:sz w:val="15"/>
                <w:szCs w:val="15"/>
                <w:color w:val="00304D"/>
              </w:rPr>
              <w:t>reviewing the Company’s interim and annual financial statements or other results of the audit;</w:t>
            </w:r>
          </w:p>
        </w:tc>
      </w:tr>
      <w:tr>
        <w:trPr>
          <w:trHeight w:val="177"/>
        </w:trPr>
        <w:tc>
          <w:tcPr>
            <w:tcW w:w="2040" w:type="dxa"/>
            <w:vAlign w:val="bottom"/>
            <w:shd w:val="clear" w:color="auto" w:fill="E5ECF1"/>
          </w:tcPr>
          <w:p>
            <w:pPr>
              <w:ind w:left="60"/>
              <w:spacing w:after="0"/>
              <w:rPr>
                <w:sz w:val="20"/>
                <w:szCs w:val="20"/>
                <w:color w:val="auto"/>
              </w:rPr>
            </w:pPr>
            <w:r>
              <w:rPr>
                <w:rFonts w:ascii="Arial" w:cs="Arial" w:eastAsia="Arial" w:hAnsi="Arial"/>
                <w:sz w:val="15"/>
                <w:szCs w:val="15"/>
                <w:b w:val="1"/>
                <w:bCs w:val="1"/>
                <w:color w:val="00304D"/>
              </w:rPr>
              <w:t>Meetings in fiscal year</w:t>
            </w:r>
          </w:p>
        </w:tc>
        <w:tc>
          <w:tcPr>
            <w:tcW w:w="200" w:type="dxa"/>
            <w:vAlign w:val="bottom"/>
          </w:tcPr>
          <w:p>
            <w:pPr>
              <w:ind w:left="100"/>
              <w:spacing w:after="0"/>
              <w:rPr>
                <w:sz w:val="20"/>
                <w:szCs w:val="20"/>
                <w:color w:val="auto"/>
              </w:rPr>
            </w:pPr>
            <w:r>
              <w:rPr>
                <w:rFonts w:ascii="Arial" w:cs="Arial" w:eastAsia="Arial" w:hAnsi="Arial"/>
                <w:sz w:val="15"/>
                <w:szCs w:val="15"/>
                <w:color w:val="265E7C"/>
              </w:rPr>
              <w:t>•</w:t>
            </w:r>
          </w:p>
        </w:tc>
        <w:tc>
          <w:tcPr>
            <w:tcW w:w="9000" w:type="dxa"/>
            <w:vAlign w:val="bottom"/>
          </w:tcPr>
          <w:p>
            <w:pPr>
              <w:ind w:left="40"/>
              <w:spacing w:after="0"/>
              <w:rPr>
                <w:sz w:val="20"/>
                <w:szCs w:val="20"/>
                <w:color w:val="auto"/>
              </w:rPr>
            </w:pPr>
            <w:r>
              <w:rPr>
                <w:rFonts w:ascii="Arial" w:cs="Arial" w:eastAsia="Arial" w:hAnsi="Arial"/>
                <w:sz w:val="15"/>
                <w:szCs w:val="15"/>
                <w:color w:val="00304D"/>
              </w:rPr>
              <w:t>reviewing the Company’s internal accounting procedures and controls and the recommendations of the independent registered public</w:t>
            </w:r>
          </w:p>
        </w:tc>
      </w:tr>
      <w:tr>
        <w:trPr>
          <w:trHeight w:val="177"/>
        </w:trPr>
        <w:tc>
          <w:tcPr>
            <w:tcW w:w="2040" w:type="dxa"/>
            <w:vAlign w:val="bottom"/>
            <w:shd w:val="clear" w:color="auto" w:fill="E5ECF1"/>
          </w:tcPr>
          <w:p>
            <w:pPr>
              <w:ind w:left="60"/>
              <w:spacing w:after="0"/>
              <w:rPr>
                <w:sz w:val="20"/>
                <w:szCs w:val="20"/>
                <w:color w:val="auto"/>
              </w:rPr>
            </w:pPr>
            <w:r>
              <w:rPr>
                <w:rFonts w:ascii="Arial" w:cs="Arial" w:eastAsia="Arial" w:hAnsi="Arial"/>
                <w:sz w:val="15"/>
                <w:szCs w:val="15"/>
                <w:b w:val="1"/>
                <w:bCs w:val="1"/>
                <w:color w:val="00304D"/>
              </w:rPr>
              <w:t>2025:</w:t>
            </w:r>
          </w:p>
        </w:tc>
        <w:tc>
          <w:tcPr>
            <w:tcW w:w="200" w:type="dxa"/>
            <w:vAlign w:val="bottom"/>
          </w:tcPr>
          <w:p>
            <w:pPr>
              <w:spacing w:after="0"/>
              <w:rPr>
                <w:sz w:val="15"/>
                <w:szCs w:val="15"/>
                <w:color w:val="auto"/>
              </w:rPr>
            </w:pPr>
          </w:p>
        </w:tc>
        <w:tc>
          <w:tcPr>
            <w:tcW w:w="9000" w:type="dxa"/>
            <w:vAlign w:val="bottom"/>
          </w:tcPr>
          <w:p>
            <w:pPr>
              <w:ind w:left="40"/>
              <w:spacing w:after="0"/>
              <w:rPr>
                <w:sz w:val="20"/>
                <w:szCs w:val="20"/>
                <w:color w:val="auto"/>
              </w:rPr>
            </w:pPr>
            <w:r>
              <w:rPr>
                <w:rFonts w:ascii="Arial" w:cs="Arial" w:eastAsia="Arial" w:hAnsi="Arial"/>
                <w:sz w:val="15"/>
                <w:szCs w:val="15"/>
                <w:color w:val="00304D"/>
              </w:rPr>
              <w:t>accountants;</w:t>
            </w:r>
          </w:p>
        </w:tc>
      </w:tr>
      <w:tr>
        <w:trPr>
          <w:trHeight w:val="177"/>
        </w:trPr>
        <w:tc>
          <w:tcPr>
            <w:tcW w:w="2040" w:type="dxa"/>
            <w:vAlign w:val="bottom"/>
            <w:shd w:val="clear" w:color="auto" w:fill="E5ECF1"/>
          </w:tcPr>
          <w:p>
            <w:pPr>
              <w:ind w:left="60"/>
              <w:spacing w:after="0"/>
              <w:rPr>
                <w:sz w:val="20"/>
                <w:szCs w:val="20"/>
                <w:color w:val="auto"/>
              </w:rPr>
            </w:pPr>
            <w:r>
              <w:rPr>
                <w:rFonts w:ascii="Arial" w:cs="Arial" w:eastAsia="Arial" w:hAnsi="Arial"/>
                <w:sz w:val="15"/>
                <w:szCs w:val="15"/>
                <w:color w:val="265E7C"/>
              </w:rPr>
              <w:t xml:space="preserve">• </w:t>
            </w:r>
            <w:r>
              <w:rPr>
                <w:rFonts w:ascii="Arial" w:cs="Arial" w:eastAsia="Arial" w:hAnsi="Arial"/>
                <w:sz w:val="15"/>
                <w:szCs w:val="15"/>
                <w:color w:val="00304D"/>
              </w:rPr>
              <w:t>six times virtually</w:t>
            </w:r>
          </w:p>
        </w:tc>
        <w:tc>
          <w:tcPr>
            <w:tcW w:w="200" w:type="dxa"/>
            <w:vAlign w:val="bottom"/>
          </w:tcPr>
          <w:p>
            <w:pPr>
              <w:ind w:left="100"/>
              <w:spacing w:after="0"/>
              <w:rPr>
                <w:sz w:val="20"/>
                <w:szCs w:val="20"/>
                <w:color w:val="auto"/>
              </w:rPr>
            </w:pPr>
            <w:r>
              <w:rPr>
                <w:rFonts w:ascii="Arial" w:cs="Arial" w:eastAsia="Arial" w:hAnsi="Arial"/>
                <w:sz w:val="15"/>
                <w:szCs w:val="15"/>
                <w:color w:val="265E7C"/>
              </w:rPr>
              <w:t>•</w:t>
            </w:r>
          </w:p>
        </w:tc>
        <w:tc>
          <w:tcPr>
            <w:tcW w:w="9000" w:type="dxa"/>
            <w:vAlign w:val="bottom"/>
          </w:tcPr>
          <w:p>
            <w:pPr>
              <w:ind w:left="40"/>
              <w:spacing w:after="0"/>
              <w:rPr>
                <w:sz w:val="20"/>
                <w:szCs w:val="20"/>
                <w:color w:val="auto"/>
              </w:rPr>
            </w:pPr>
            <w:r>
              <w:rPr>
                <w:rFonts w:ascii="Arial" w:cs="Arial" w:eastAsia="Arial" w:hAnsi="Arial"/>
                <w:sz w:val="15"/>
                <w:szCs w:val="15"/>
                <w:color w:val="00304D"/>
              </w:rPr>
              <w:t>overseeing cyber risk management, regulatory matters and compliance programs; and</w:t>
            </w:r>
          </w:p>
        </w:tc>
      </w:tr>
      <w:tr>
        <w:trPr>
          <w:trHeight w:val="207"/>
        </w:trPr>
        <w:tc>
          <w:tcPr>
            <w:tcW w:w="2040" w:type="dxa"/>
            <w:vAlign w:val="bottom"/>
            <w:tcBorders>
              <w:bottom w:val="single" w:sz="8" w:color="00304D"/>
            </w:tcBorders>
            <w:shd w:val="clear" w:color="auto" w:fill="E5ECF1"/>
          </w:tcPr>
          <w:p>
            <w:pPr>
              <w:spacing w:after="0"/>
              <w:rPr>
                <w:sz w:val="17"/>
                <w:szCs w:val="17"/>
                <w:color w:val="auto"/>
              </w:rPr>
            </w:pPr>
          </w:p>
        </w:tc>
        <w:tc>
          <w:tcPr>
            <w:tcW w:w="200" w:type="dxa"/>
            <w:vAlign w:val="bottom"/>
            <w:tcBorders>
              <w:bottom w:val="single" w:sz="8" w:color="00304D"/>
            </w:tcBorders>
          </w:tcPr>
          <w:p>
            <w:pPr>
              <w:ind w:left="100"/>
              <w:spacing w:after="0"/>
              <w:rPr>
                <w:sz w:val="20"/>
                <w:szCs w:val="20"/>
                <w:color w:val="auto"/>
              </w:rPr>
            </w:pPr>
            <w:r>
              <w:rPr>
                <w:rFonts w:ascii="Arial" w:cs="Arial" w:eastAsia="Arial" w:hAnsi="Arial"/>
                <w:sz w:val="15"/>
                <w:szCs w:val="15"/>
                <w:color w:val="265E7C"/>
              </w:rPr>
              <w:t>•</w:t>
            </w:r>
          </w:p>
        </w:tc>
        <w:tc>
          <w:tcPr>
            <w:tcW w:w="9000" w:type="dxa"/>
            <w:vAlign w:val="bottom"/>
            <w:tcBorders>
              <w:bottom w:val="single" w:sz="8" w:color="00304D"/>
            </w:tcBorders>
          </w:tcPr>
          <w:p>
            <w:pPr>
              <w:ind w:left="40"/>
              <w:spacing w:after="0"/>
              <w:rPr>
                <w:sz w:val="20"/>
                <w:szCs w:val="20"/>
                <w:color w:val="auto"/>
              </w:rPr>
            </w:pPr>
            <w:r>
              <w:rPr>
                <w:rFonts w:ascii="Arial" w:cs="Arial" w:eastAsia="Arial" w:hAnsi="Arial"/>
                <w:sz w:val="15"/>
                <w:szCs w:val="15"/>
                <w:color w:val="00304D"/>
              </w:rPr>
              <w:t>reviewing the external audit process.</w:t>
            </w:r>
          </w:p>
        </w:tc>
      </w:tr>
    </w:tbl>
    <w:p>
      <w:pPr>
        <w:spacing w:after="0" w:line="13" w:lineRule="exact"/>
        <w:rPr>
          <w:sz w:val="20"/>
          <w:szCs w:val="20"/>
          <w:color w:val="auto"/>
        </w:rPr>
      </w:pPr>
    </w:p>
    <w:p>
      <w:pPr>
        <w:jc w:val="both"/>
        <w:ind w:left="60"/>
        <w:spacing w:after="0" w:line="264" w:lineRule="auto"/>
        <w:rPr>
          <w:sz w:val="20"/>
          <w:szCs w:val="20"/>
          <w:color w:val="auto"/>
        </w:rPr>
      </w:pPr>
      <w:r>
        <w:rPr>
          <w:rFonts w:ascii="Arial" w:cs="Arial" w:eastAsia="Arial" w:hAnsi="Arial"/>
          <w:sz w:val="15"/>
          <w:szCs w:val="15"/>
          <w:color w:val="auto"/>
        </w:rPr>
        <w:t>The Board has determined that Ms. McCarthy, Mr. Hix, Mr. Scherger and Mr. Shah are “financially sophisticated,” as required by Nasdaq Rule 5605(c)(2), and qualify as “audit committee financial experts,” as such term is defined in SEC rules. All of the members have been determined by the Board to meet the additional independence criteria for audit committee members set forth in Nasdaq Rule 5605(c)(2).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7141210" cy="158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  Since February 1, 2026</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Mr. Ziyad is not standing for re-election at the Annual Meeting.</w:t>
      </w:r>
    </w:p>
    <w:p>
      <w:pPr>
        <w:spacing w:after="0" w:line="17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26" w:name="page27"/>
    <w:bookmarkEnd w:id="26"/>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00304D"/>
        </w:rPr>
        <w:t>Compensation Committee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40" w:type="dxa"/>
            <w:vAlign w:val="bottom"/>
            <w:tcBorders>
              <w:top w:val="single" w:sz="8" w:color="00304D"/>
            </w:tcBorders>
            <w:gridSpan w:val="2"/>
            <w:shd w:val="clear" w:color="auto" w:fill="E5ECF1"/>
          </w:tcPr>
          <w:p>
            <w:pPr>
              <w:ind w:left="60"/>
              <w:spacing w:after="0"/>
              <w:rPr>
                <w:sz w:val="20"/>
                <w:szCs w:val="20"/>
                <w:color w:val="auto"/>
              </w:rPr>
            </w:pPr>
            <w:r>
              <w:rPr>
                <w:rFonts w:ascii="Arial" w:cs="Arial" w:eastAsia="Arial" w:hAnsi="Arial"/>
                <w:sz w:val="15"/>
                <w:szCs w:val="15"/>
                <w:b w:val="1"/>
                <w:bCs w:val="1"/>
                <w:color w:val="00304D"/>
              </w:rPr>
              <w:t>Members:</w:t>
            </w:r>
          </w:p>
        </w:tc>
        <w:tc>
          <w:tcPr>
            <w:tcW w:w="9200" w:type="dxa"/>
            <w:vAlign w:val="bottom"/>
            <w:tcBorders>
              <w:top w:val="single" w:sz="8" w:color="00304D"/>
            </w:tcBorders>
            <w:gridSpan w:val="2"/>
          </w:tcPr>
          <w:p>
            <w:pPr>
              <w:ind w:left="100"/>
              <w:spacing w:after="0"/>
              <w:rPr>
                <w:sz w:val="20"/>
                <w:szCs w:val="20"/>
                <w:color w:val="auto"/>
              </w:rPr>
            </w:pPr>
            <w:r>
              <w:rPr>
                <w:rFonts w:ascii="Arial" w:cs="Arial" w:eastAsia="Arial" w:hAnsi="Arial"/>
                <w:sz w:val="15"/>
                <w:szCs w:val="15"/>
                <w:b w:val="1"/>
                <w:bCs w:val="1"/>
                <w:color w:val="00304D"/>
              </w:rPr>
              <w:t>The Compensation Committee is responsible for:</w:t>
            </w:r>
          </w:p>
        </w:tc>
      </w:tr>
      <w:tr>
        <w:trPr>
          <w:trHeight w:val="177"/>
        </w:trPr>
        <w:tc>
          <w:tcPr>
            <w:tcW w:w="140" w:type="dxa"/>
            <w:vAlign w:val="bottom"/>
            <w:shd w:val="clear" w:color="auto" w:fill="E5ECF1"/>
          </w:tcPr>
          <w:p>
            <w:pPr>
              <w:ind w:left="60"/>
              <w:spacing w:after="0"/>
              <w:rPr>
                <w:sz w:val="20"/>
                <w:szCs w:val="20"/>
                <w:color w:val="auto"/>
              </w:rPr>
            </w:pPr>
            <w:r>
              <w:rPr>
                <w:rFonts w:ascii="Arial" w:cs="Arial" w:eastAsia="Arial" w:hAnsi="Arial"/>
                <w:sz w:val="15"/>
                <w:szCs w:val="15"/>
                <w:color w:val="265E7C"/>
              </w:rPr>
              <w:t>•</w:t>
            </w:r>
          </w:p>
        </w:tc>
        <w:tc>
          <w:tcPr>
            <w:tcW w:w="1900" w:type="dxa"/>
            <w:vAlign w:val="bottom"/>
            <w:shd w:val="clear" w:color="auto" w:fill="E5ECF1"/>
          </w:tcPr>
          <w:p>
            <w:pPr>
              <w:ind w:left="40"/>
              <w:spacing w:after="0"/>
              <w:rPr>
                <w:sz w:val="20"/>
                <w:szCs w:val="20"/>
                <w:color w:val="auto"/>
              </w:rPr>
            </w:pPr>
            <w:r>
              <w:rPr>
                <w:rFonts w:ascii="Arial" w:cs="Arial" w:eastAsia="Arial" w:hAnsi="Arial"/>
                <w:sz w:val="15"/>
                <w:szCs w:val="15"/>
                <w:color w:val="00304D"/>
              </w:rPr>
              <w:t>Scherger (Chairperson),</w:t>
            </w:r>
          </w:p>
        </w:tc>
        <w:tc>
          <w:tcPr>
            <w:tcW w:w="200" w:type="dxa"/>
            <w:vAlign w:val="bottom"/>
          </w:tcPr>
          <w:p>
            <w:pPr>
              <w:ind w:left="100"/>
              <w:spacing w:after="0"/>
              <w:rPr>
                <w:sz w:val="20"/>
                <w:szCs w:val="20"/>
                <w:color w:val="auto"/>
              </w:rPr>
            </w:pPr>
            <w:r>
              <w:rPr>
                <w:rFonts w:ascii="Arial" w:cs="Arial" w:eastAsia="Arial" w:hAnsi="Arial"/>
                <w:sz w:val="15"/>
                <w:szCs w:val="15"/>
                <w:color w:val="265E7C"/>
              </w:rPr>
              <w:t>•</w:t>
            </w:r>
          </w:p>
        </w:tc>
        <w:tc>
          <w:tcPr>
            <w:tcW w:w="9000" w:type="dxa"/>
            <w:vAlign w:val="bottom"/>
          </w:tcPr>
          <w:p>
            <w:pPr>
              <w:ind w:left="40"/>
              <w:spacing w:after="0"/>
              <w:rPr>
                <w:sz w:val="20"/>
                <w:szCs w:val="20"/>
                <w:color w:val="auto"/>
              </w:rPr>
            </w:pPr>
            <w:r>
              <w:rPr>
                <w:rFonts w:ascii="Arial" w:cs="Arial" w:eastAsia="Arial" w:hAnsi="Arial"/>
                <w:sz w:val="15"/>
                <w:szCs w:val="15"/>
                <w:color w:val="00304D"/>
              </w:rPr>
              <w:t>making recommendations concerning the compensation of the non-employee members of the Board and all executive officers;</w:t>
            </w:r>
          </w:p>
        </w:tc>
      </w:tr>
      <w:tr>
        <w:trPr>
          <w:trHeight w:val="177"/>
        </w:trPr>
        <w:tc>
          <w:tcPr>
            <w:tcW w:w="140" w:type="dxa"/>
            <w:vAlign w:val="bottom"/>
            <w:shd w:val="clear" w:color="auto" w:fill="E5ECF1"/>
          </w:tcPr>
          <w:p>
            <w:pPr>
              <w:spacing w:after="0"/>
              <w:rPr>
                <w:sz w:val="15"/>
                <w:szCs w:val="15"/>
                <w:color w:val="auto"/>
              </w:rPr>
            </w:pPr>
          </w:p>
        </w:tc>
        <w:tc>
          <w:tcPr>
            <w:tcW w:w="1900" w:type="dxa"/>
            <w:vAlign w:val="bottom"/>
            <w:shd w:val="clear" w:color="auto" w:fill="E5ECF1"/>
          </w:tcPr>
          <w:p>
            <w:pPr>
              <w:ind w:left="60"/>
              <w:spacing w:after="0"/>
              <w:rPr>
                <w:sz w:val="20"/>
                <w:szCs w:val="20"/>
                <w:color w:val="auto"/>
              </w:rPr>
            </w:pPr>
            <w:r>
              <w:rPr>
                <w:rFonts w:ascii="Arial" w:cs="Arial" w:eastAsia="Arial" w:hAnsi="Arial"/>
                <w:sz w:val="15"/>
                <w:szCs w:val="15"/>
                <w:color w:val="00304D"/>
              </w:rPr>
              <w:t>Bowerman*, Garden, and</w:t>
            </w:r>
          </w:p>
        </w:tc>
        <w:tc>
          <w:tcPr>
            <w:tcW w:w="200" w:type="dxa"/>
            <w:vAlign w:val="bottom"/>
          </w:tcPr>
          <w:p>
            <w:pPr>
              <w:ind w:left="100"/>
              <w:spacing w:after="0"/>
              <w:rPr>
                <w:sz w:val="20"/>
                <w:szCs w:val="20"/>
                <w:color w:val="auto"/>
              </w:rPr>
            </w:pPr>
            <w:r>
              <w:rPr>
                <w:rFonts w:ascii="Arial" w:cs="Arial" w:eastAsia="Arial" w:hAnsi="Arial"/>
                <w:sz w:val="15"/>
                <w:szCs w:val="15"/>
                <w:color w:val="265E7C"/>
              </w:rPr>
              <w:t>•</w:t>
            </w:r>
          </w:p>
        </w:tc>
        <w:tc>
          <w:tcPr>
            <w:tcW w:w="9000" w:type="dxa"/>
            <w:vAlign w:val="bottom"/>
          </w:tcPr>
          <w:p>
            <w:pPr>
              <w:ind w:left="40"/>
              <w:spacing w:after="0"/>
              <w:rPr>
                <w:sz w:val="20"/>
                <w:szCs w:val="20"/>
                <w:color w:val="auto"/>
              </w:rPr>
            </w:pPr>
            <w:r>
              <w:rPr>
                <w:rFonts w:ascii="Arial" w:cs="Arial" w:eastAsia="Arial" w:hAnsi="Arial"/>
                <w:sz w:val="15"/>
                <w:szCs w:val="15"/>
                <w:color w:val="00304D"/>
              </w:rPr>
              <w:t>administering the Value Creation Incentive Plan, our annual incentive compensation program, including establishing and certifying</w:t>
            </w:r>
          </w:p>
        </w:tc>
      </w:tr>
      <w:tr>
        <w:trPr>
          <w:trHeight w:val="177"/>
        </w:trPr>
        <w:tc>
          <w:tcPr>
            <w:tcW w:w="140" w:type="dxa"/>
            <w:vAlign w:val="bottom"/>
            <w:shd w:val="clear" w:color="auto" w:fill="E5ECF1"/>
          </w:tcPr>
          <w:p>
            <w:pPr>
              <w:spacing w:after="0"/>
              <w:rPr>
                <w:sz w:val="15"/>
                <w:szCs w:val="15"/>
                <w:color w:val="auto"/>
              </w:rPr>
            </w:pPr>
          </w:p>
        </w:tc>
        <w:tc>
          <w:tcPr>
            <w:tcW w:w="1900" w:type="dxa"/>
            <w:vAlign w:val="bottom"/>
            <w:shd w:val="clear" w:color="auto" w:fill="E5ECF1"/>
          </w:tcPr>
          <w:p>
            <w:pPr>
              <w:ind w:left="60"/>
              <w:spacing w:after="0"/>
              <w:rPr>
                <w:sz w:val="20"/>
                <w:szCs w:val="20"/>
                <w:color w:val="auto"/>
              </w:rPr>
            </w:pPr>
            <w:r>
              <w:rPr>
                <w:rFonts w:ascii="Arial" w:cs="Arial" w:eastAsia="Arial" w:hAnsi="Arial"/>
                <w:sz w:val="15"/>
                <w:szCs w:val="15"/>
                <w:color w:val="00304D"/>
              </w:rPr>
              <w:t>O’Brien</w:t>
            </w:r>
          </w:p>
        </w:tc>
        <w:tc>
          <w:tcPr>
            <w:tcW w:w="200" w:type="dxa"/>
            <w:vAlign w:val="bottom"/>
          </w:tcPr>
          <w:p>
            <w:pPr>
              <w:spacing w:after="0"/>
              <w:rPr>
                <w:sz w:val="15"/>
                <w:szCs w:val="15"/>
                <w:color w:val="auto"/>
              </w:rPr>
            </w:pPr>
          </w:p>
        </w:tc>
        <w:tc>
          <w:tcPr>
            <w:tcW w:w="9000" w:type="dxa"/>
            <w:vAlign w:val="bottom"/>
          </w:tcPr>
          <w:p>
            <w:pPr>
              <w:ind w:left="60"/>
              <w:spacing w:after="0"/>
              <w:rPr>
                <w:sz w:val="20"/>
                <w:szCs w:val="20"/>
                <w:color w:val="auto"/>
              </w:rPr>
            </w:pPr>
            <w:r>
              <w:rPr>
                <w:rFonts w:ascii="Arial" w:cs="Arial" w:eastAsia="Arial" w:hAnsi="Arial"/>
                <w:sz w:val="15"/>
                <w:szCs w:val="15"/>
                <w:color w:val="00304D"/>
              </w:rPr>
              <w:t>performance goals; and</w:t>
            </w:r>
          </w:p>
        </w:tc>
      </w:tr>
      <w:tr>
        <w:trPr>
          <w:trHeight w:val="177"/>
        </w:trPr>
        <w:tc>
          <w:tcPr>
            <w:tcW w:w="2040" w:type="dxa"/>
            <w:vAlign w:val="bottom"/>
            <w:gridSpan w:val="2"/>
            <w:shd w:val="clear" w:color="auto" w:fill="E5ECF1"/>
          </w:tcPr>
          <w:p>
            <w:pPr>
              <w:ind w:left="60"/>
              <w:spacing w:after="0"/>
              <w:rPr>
                <w:sz w:val="20"/>
                <w:szCs w:val="20"/>
                <w:color w:val="auto"/>
              </w:rPr>
            </w:pPr>
            <w:r>
              <w:rPr>
                <w:rFonts w:ascii="Arial" w:cs="Arial" w:eastAsia="Arial" w:hAnsi="Arial"/>
                <w:sz w:val="15"/>
                <w:szCs w:val="15"/>
                <w:b w:val="1"/>
                <w:bCs w:val="1"/>
                <w:color w:val="00304D"/>
              </w:rPr>
              <w:t>Meetings in fiscal year</w:t>
            </w:r>
          </w:p>
        </w:tc>
        <w:tc>
          <w:tcPr>
            <w:tcW w:w="200" w:type="dxa"/>
            <w:vAlign w:val="bottom"/>
          </w:tcPr>
          <w:p>
            <w:pPr>
              <w:ind w:left="100"/>
              <w:spacing w:after="0"/>
              <w:rPr>
                <w:sz w:val="20"/>
                <w:szCs w:val="20"/>
                <w:color w:val="auto"/>
              </w:rPr>
            </w:pPr>
            <w:r>
              <w:rPr>
                <w:rFonts w:ascii="Arial" w:cs="Arial" w:eastAsia="Arial" w:hAnsi="Arial"/>
                <w:sz w:val="15"/>
                <w:szCs w:val="15"/>
                <w:color w:val="265E7C"/>
              </w:rPr>
              <w:t>•</w:t>
            </w:r>
          </w:p>
        </w:tc>
        <w:tc>
          <w:tcPr>
            <w:tcW w:w="9000" w:type="dxa"/>
            <w:vAlign w:val="bottom"/>
          </w:tcPr>
          <w:p>
            <w:pPr>
              <w:ind w:left="40"/>
              <w:spacing w:after="0"/>
              <w:rPr>
                <w:sz w:val="20"/>
                <w:szCs w:val="20"/>
                <w:color w:val="auto"/>
              </w:rPr>
            </w:pPr>
            <w:r>
              <w:rPr>
                <w:rFonts w:ascii="Arial" w:cs="Arial" w:eastAsia="Arial" w:hAnsi="Arial"/>
                <w:sz w:val="15"/>
                <w:szCs w:val="15"/>
                <w:color w:val="00304D"/>
              </w:rPr>
              <w:t>administering and making grants to executive officers under the Company’s 2021 Long-Term Incentive Plan (the “LTIP”).</w:t>
            </w:r>
          </w:p>
        </w:tc>
      </w:tr>
      <w:tr>
        <w:trPr>
          <w:trHeight w:val="177"/>
        </w:trPr>
        <w:tc>
          <w:tcPr>
            <w:tcW w:w="2040" w:type="dxa"/>
            <w:vAlign w:val="bottom"/>
            <w:gridSpan w:val="2"/>
            <w:shd w:val="clear" w:color="auto" w:fill="E5ECF1"/>
          </w:tcPr>
          <w:p>
            <w:pPr>
              <w:ind w:left="60"/>
              <w:spacing w:after="0"/>
              <w:rPr>
                <w:sz w:val="20"/>
                <w:szCs w:val="20"/>
                <w:color w:val="auto"/>
              </w:rPr>
            </w:pPr>
            <w:r>
              <w:rPr>
                <w:rFonts w:ascii="Arial" w:cs="Arial" w:eastAsia="Arial" w:hAnsi="Arial"/>
                <w:sz w:val="15"/>
                <w:szCs w:val="15"/>
                <w:b w:val="1"/>
                <w:bCs w:val="1"/>
                <w:color w:val="00304D"/>
              </w:rPr>
              <w:t>2025:</w:t>
            </w:r>
          </w:p>
        </w:tc>
        <w:tc>
          <w:tcPr>
            <w:tcW w:w="200" w:type="dxa"/>
            <w:vAlign w:val="bottom"/>
          </w:tcPr>
          <w:p>
            <w:pPr>
              <w:spacing w:after="0"/>
              <w:rPr>
                <w:sz w:val="15"/>
                <w:szCs w:val="15"/>
                <w:color w:val="auto"/>
              </w:rPr>
            </w:pPr>
          </w:p>
        </w:tc>
        <w:tc>
          <w:tcPr>
            <w:tcW w:w="9000" w:type="dxa"/>
            <w:vAlign w:val="bottom"/>
          </w:tcPr>
          <w:p>
            <w:pPr>
              <w:spacing w:after="0"/>
              <w:rPr>
                <w:sz w:val="15"/>
                <w:szCs w:val="15"/>
                <w:color w:val="auto"/>
              </w:rPr>
            </w:pPr>
          </w:p>
        </w:tc>
      </w:tr>
      <w:tr>
        <w:trPr>
          <w:trHeight w:val="177"/>
        </w:trPr>
        <w:tc>
          <w:tcPr>
            <w:tcW w:w="140" w:type="dxa"/>
            <w:vAlign w:val="bottom"/>
            <w:shd w:val="clear" w:color="auto" w:fill="E5ECF1"/>
          </w:tcPr>
          <w:p>
            <w:pPr>
              <w:ind w:left="60"/>
              <w:spacing w:after="0"/>
              <w:rPr>
                <w:sz w:val="20"/>
                <w:szCs w:val="20"/>
                <w:color w:val="auto"/>
              </w:rPr>
            </w:pPr>
            <w:r>
              <w:rPr>
                <w:rFonts w:ascii="Arial" w:cs="Arial" w:eastAsia="Arial" w:hAnsi="Arial"/>
                <w:sz w:val="15"/>
                <w:szCs w:val="15"/>
                <w:color w:val="265E7C"/>
              </w:rPr>
              <w:t>•</w:t>
            </w:r>
          </w:p>
        </w:tc>
        <w:tc>
          <w:tcPr>
            <w:tcW w:w="1900" w:type="dxa"/>
            <w:vAlign w:val="bottom"/>
            <w:shd w:val="clear" w:color="auto" w:fill="E5ECF1"/>
          </w:tcPr>
          <w:p>
            <w:pPr>
              <w:ind w:left="40"/>
              <w:spacing w:after="0"/>
              <w:rPr>
                <w:sz w:val="20"/>
                <w:szCs w:val="20"/>
                <w:color w:val="auto"/>
              </w:rPr>
            </w:pPr>
            <w:r>
              <w:rPr>
                <w:rFonts w:ascii="Arial" w:cs="Arial" w:eastAsia="Arial" w:hAnsi="Arial"/>
                <w:sz w:val="15"/>
                <w:szCs w:val="15"/>
                <w:color w:val="00304D"/>
              </w:rPr>
              <w:t>three times virtually, three</w:t>
            </w:r>
          </w:p>
        </w:tc>
        <w:tc>
          <w:tcPr>
            <w:tcW w:w="200" w:type="dxa"/>
            <w:vAlign w:val="bottom"/>
          </w:tcPr>
          <w:p>
            <w:pPr>
              <w:spacing w:after="0"/>
              <w:rPr>
                <w:sz w:val="15"/>
                <w:szCs w:val="15"/>
                <w:color w:val="auto"/>
              </w:rPr>
            </w:pPr>
          </w:p>
        </w:tc>
        <w:tc>
          <w:tcPr>
            <w:tcW w:w="9000" w:type="dxa"/>
            <w:vAlign w:val="bottom"/>
          </w:tcPr>
          <w:p>
            <w:pPr>
              <w:spacing w:after="0"/>
              <w:rPr>
                <w:sz w:val="15"/>
                <w:szCs w:val="15"/>
                <w:color w:val="auto"/>
              </w:rPr>
            </w:pPr>
          </w:p>
        </w:tc>
      </w:tr>
      <w:tr>
        <w:trPr>
          <w:trHeight w:val="207"/>
        </w:trPr>
        <w:tc>
          <w:tcPr>
            <w:tcW w:w="140" w:type="dxa"/>
            <w:vAlign w:val="bottom"/>
            <w:tcBorders>
              <w:bottom w:val="single" w:sz="8" w:color="00304D"/>
            </w:tcBorders>
            <w:shd w:val="clear" w:color="auto" w:fill="E5ECF1"/>
          </w:tcPr>
          <w:p>
            <w:pPr>
              <w:spacing w:after="0"/>
              <w:rPr>
                <w:sz w:val="17"/>
                <w:szCs w:val="17"/>
                <w:color w:val="auto"/>
              </w:rPr>
            </w:pPr>
          </w:p>
        </w:tc>
        <w:tc>
          <w:tcPr>
            <w:tcW w:w="1900" w:type="dxa"/>
            <w:vAlign w:val="bottom"/>
            <w:tcBorders>
              <w:bottom w:val="single" w:sz="8" w:color="00304D"/>
            </w:tcBorders>
            <w:shd w:val="clear" w:color="auto" w:fill="E5ECF1"/>
          </w:tcPr>
          <w:p>
            <w:pPr>
              <w:ind w:left="60"/>
              <w:spacing w:after="0"/>
              <w:rPr>
                <w:sz w:val="20"/>
                <w:szCs w:val="20"/>
                <w:color w:val="auto"/>
              </w:rPr>
            </w:pPr>
            <w:r>
              <w:rPr>
                <w:rFonts w:ascii="Arial" w:cs="Arial" w:eastAsia="Arial" w:hAnsi="Arial"/>
                <w:sz w:val="15"/>
                <w:szCs w:val="15"/>
                <w:color w:val="00304D"/>
              </w:rPr>
              <w:t>times in person</w:t>
            </w:r>
          </w:p>
        </w:tc>
        <w:tc>
          <w:tcPr>
            <w:tcW w:w="200" w:type="dxa"/>
            <w:vAlign w:val="bottom"/>
            <w:tcBorders>
              <w:bottom w:val="single" w:sz="8" w:color="00304D"/>
            </w:tcBorders>
          </w:tcPr>
          <w:p>
            <w:pPr>
              <w:spacing w:after="0"/>
              <w:rPr>
                <w:sz w:val="17"/>
                <w:szCs w:val="17"/>
                <w:color w:val="auto"/>
              </w:rPr>
            </w:pPr>
          </w:p>
        </w:tc>
        <w:tc>
          <w:tcPr>
            <w:tcW w:w="9000" w:type="dxa"/>
            <w:vAlign w:val="bottom"/>
            <w:tcBorders>
              <w:bottom w:val="single" w:sz="8" w:color="00304D"/>
            </w:tcBorders>
          </w:tcPr>
          <w:p>
            <w:pPr>
              <w:spacing w:after="0"/>
              <w:rPr>
                <w:sz w:val="17"/>
                <w:szCs w:val="17"/>
                <w:color w:val="auto"/>
              </w:rPr>
            </w:pPr>
          </w:p>
        </w:tc>
      </w:tr>
    </w:tbl>
    <w:p>
      <w:pPr>
        <w:spacing w:after="0" w:line="13" w:lineRule="exact"/>
        <w:rPr>
          <w:sz w:val="20"/>
          <w:szCs w:val="20"/>
          <w:color w:val="auto"/>
        </w:rPr>
      </w:pPr>
    </w:p>
    <w:p>
      <w:pPr>
        <w:ind w:left="60"/>
        <w:spacing w:after="0"/>
        <w:rPr>
          <w:sz w:val="20"/>
          <w:szCs w:val="20"/>
          <w:color w:val="auto"/>
        </w:rPr>
      </w:pPr>
      <w:r>
        <w:rPr>
          <w:rFonts w:ascii="Arial" w:cs="Arial" w:eastAsia="Arial" w:hAnsi="Arial"/>
          <w:sz w:val="15"/>
          <w:szCs w:val="15"/>
          <w:color w:val="auto"/>
        </w:rPr>
        <w:t>All of the members of the Compensation Committee have been determined by the Board to be independent as defined under applicable Nasdaq listing standards.</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5"/>
          <w:szCs w:val="15"/>
          <w:color w:val="auto"/>
        </w:rPr>
        <w:t>There are no compensation committee interlocks.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1210" cy="15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  Since March 9, 2026</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00304D"/>
        </w:rPr>
        <w:t>Nominating and Corporate Governance Committee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40" w:type="dxa"/>
            <w:vAlign w:val="bottom"/>
            <w:tcBorders>
              <w:top w:val="single" w:sz="8" w:color="00304D"/>
            </w:tcBorders>
            <w:gridSpan w:val="2"/>
            <w:shd w:val="clear" w:color="auto" w:fill="E5ECF1"/>
          </w:tcPr>
          <w:p>
            <w:pPr>
              <w:ind w:left="60"/>
              <w:spacing w:after="0"/>
              <w:rPr>
                <w:sz w:val="20"/>
                <w:szCs w:val="20"/>
                <w:color w:val="auto"/>
              </w:rPr>
            </w:pPr>
            <w:r>
              <w:rPr>
                <w:rFonts w:ascii="Arial" w:cs="Arial" w:eastAsia="Arial" w:hAnsi="Arial"/>
                <w:sz w:val="15"/>
                <w:szCs w:val="15"/>
                <w:b w:val="1"/>
                <w:bCs w:val="1"/>
                <w:color w:val="00304D"/>
              </w:rPr>
              <w:t>Members:</w:t>
            </w:r>
          </w:p>
        </w:tc>
        <w:tc>
          <w:tcPr>
            <w:tcW w:w="9200" w:type="dxa"/>
            <w:vAlign w:val="bottom"/>
            <w:tcBorders>
              <w:top w:val="single" w:sz="8" w:color="00304D"/>
            </w:tcBorders>
            <w:gridSpan w:val="2"/>
          </w:tcPr>
          <w:p>
            <w:pPr>
              <w:ind w:left="100"/>
              <w:spacing w:after="0"/>
              <w:rPr>
                <w:sz w:val="20"/>
                <w:szCs w:val="20"/>
                <w:color w:val="auto"/>
              </w:rPr>
            </w:pPr>
            <w:r>
              <w:rPr>
                <w:rFonts w:ascii="Arial" w:cs="Arial" w:eastAsia="Arial" w:hAnsi="Arial"/>
                <w:sz w:val="15"/>
                <w:szCs w:val="15"/>
                <w:b w:val="1"/>
                <w:bCs w:val="1"/>
                <w:color w:val="00304D"/>
              </w:rPr>
              <w:t>The Nominating and Corporate Governance Committee is responsible for:</w:t>
            </w:r>
          </w:p>
        </w:tc>
      </w:tr>
      <w:tr>
        <w:trPr>
          <w:trHeight w:val="177"/>
        </w:trPr>
        <w:tc>
          <w:tcPr>
            <w:tcW w:w="140" w:type="dxa"/>
            <w:vAlign w:val="bottom"/>
            <w:shd w:val="clear" w:color="auto" w:fill="E5ECF1"/>
          </w:tcPr>
          <w:p>
            <w:pPr>
              <w:ind w:left="60"/>
              <w:spacing w:after="0"/>
              <w:rPr>
                <w:sz w:val="20"/>
                <w:szCs w:val="20"/>
                <w:color w:val="auto"/>
              </w:rPr>
            </w:pPr>
            <w:r>
              <w:rPr>
                <w:rFonts w:ascii="Arial" w:cs="Arial" w:eastAsia="Arial" w:hAnsi="Arial"/>
                <w:sz w:val="15"/>
                <w:szCs w:val="15"/>
                <w:color w:val="265E7C"/>
              </w:rPr>
              <w:t>•</w:t>
            </w:r>
          </w:p>
        </w:tc>
        <w:tc>
          <w:tcPr>
            <w:tcW w:w="1900" w:type="dxa"/>
            <w:vAlign w:val="bottom"/>
            <w:shd w:val="clear" w:color="auto" w:fill="E5ECF1"/>
          </w:tcPr>
          <w:p>
            <w:pPr>
              <w:ind w:left="40"/>
              <w:spacing w:after="0"/>
              <w:rPr>
                <w:sz w:val="20"/>
                <w:szCs w:val="20"/>
                <w:color w:val="auto"/>
              </w:rPr>
            </w:pPr>
            <w:r>
              <w:rPr>
                <w:rFonts w:ascii="Arial" w:cs="Arial" w:eastAsia="Arial" w:hAnsi="Arial"/>
                <w:sz w:val="15"/>
                <w:szCs w:val="15"/>
                <w:color w:val="00304D"/>
              </w:rPr>
              <w:t>Chapin (Chairperson),</w:t>
            </w:r>
          </w:p>
        </w:tc>
        <w:tc>
          <w:tcPr>
            <w:tcW w:w="200" w:type="dxa"/>
            <w:vAlign w:val="bottom"/>
          </w:tcPr>
          <w:p>
            <w:pPr>
              <w:ind w:left="100"/>
              <w:spacing w:after="0"/>
              <w:rPr>
                <w:sz w:val="20"/>
                <w:szCs w:val="20"/>
                <w:color w:val="auto"/>
              </w:rPr>
            </w:pPr>
            <w:r>
              <w:rPr>
                <w:rFonts w:ascii="Arial" w:cs="Arial" w:eastAsia="Arial" w:hAnsi="Arial"/>
                <w:sz w:val="15"/>
                <w:szCs w:val="15"/>
                <w:color w:val="265E7C"/>
              </w:rPr>
              <w:t>•</w:t>
            </w:r>
          </w:p>
        </w:tc>
        <w:tc>
          <w:tcPr>
            <w:tcW w:w="9000" w:type="dxa"/>
            <w:vAlign w:val="bottom"/>
          </w:tcPr>
          <w:p>
            <w:pPr>
              <w:ind w:left="40"/>
              <w:spacing w:after="0"/>
              <w:rPr>
                <w:sz w:val="20"/>
                <w:szCs w:val="20"/>
                <w:color w:val="auto"/>
              </w:rPr>
            </w:pPr>
            <w:r>
              <w:rPr>
                <w:rFonts w:ascii="Arial" w:cs="Arial" w:eastAsia="Arial" w:hAnsi="Arial"/>
                <w:sz w:val="15"/>
                <w:szCs w:val="15"/>
                <w:color w:val="00304D"/>
              </w:rPr>
              <w:t>discussing, reviewing, evaluating, and maintaining a slate of potential director nominees, and recommending potential director</w:t>
            </w:r>
          </w:p>
        </w:tc>
      </w:tr>
      <w:tr>
        <w:trPr>
          <w:trHeight w:val="177"/>
        </w:trPr>
        <w:tc>
          <w:tcPr>
            <w:tcW w:w="140" w:type="dxa"/>
            <w:vAlign w:val="bottom"/>
            <w:shd w:val="clear" w:color="auto" w:fill="E5ECF1"/>
          </w:tcPr>
          <w:p>
            <w:pPr>
              <w:spacing w:after="0"/>
              <w:rPr>
                <w:sz w:val="15"/>
                <w:szCs w:val="15"/>
                <w:color w:val="auto"/>
              </w:rPr>
            </w:pPr>
          </w:p>
        </w:tc>
        <w:tc>
          <w:tcPr>
            <w:tcW w:w="1900" w:type="dxa"/>
            <w:vAlign w:val="bottom"/>
            <w:shd w:val="clear" w:color="auto" w:fill="E5ECF1"/>
          </w:tcPr>
          <w:p>
            <w:pPr>
              <w:ind w:left="60"/>
              <w:spacing w:after="0"/>
              <w:rPr>
                <w:sz w:val="20"/>
                <w:szCs w:val="20"/>
                <w:color w:val="auto"/>
              </w:rPr>
            </w:pPr>
            <w:r>
              <w:rPr>
                <w:rFonts w:ascii="Arial" w:cs="Arial" w:eastAsia="Arial" w:hAnsi="Arial"/>
                <w:sz w:val="15"/>
                <w:szCs w:val="15"/>
                <w:color w:val="00304D"/>
              </w:rPr>
              <w:t>Bowerman, Eisenberg*,</w:t>
            </w:r>
          </w:p>
        </w:tc>
        <w:tc>
          <w:tcPr>
            <w:tcW w:w="200" w:type="dxa"/>
            <w:vAlign w:val="bottom"/>
          </w:tcPr>
          <w:p>
            <w:pPr>
              <w:spacing w:after="0"/>
              <w:rPr>
                <w:sz w:val="15"/>
                <w:szCs w:val="15"/>
                <w:color w:val="auto"/>
              </w:rPr>
            </w:pPr>
          </w:p>
        </w:tc>
        <w:tc>
          <w:tcPr>
            <w:tcW w:w="9000" w:type="dxa"/>
            <w:vAlign w:val="bottom"/>
          </w:tcPr>
          <w:p>
            <w:pPr>
              <w:ind w:left="60"/>
              <w:spacing w:after="0"/>
              <w:rPr>
                <w:sz w:val="20"/>
                <w:szCs w:val="20"/>
                <w:color w:val="auto"/>
              </w:rPr>
            </w:pPr>
            <w:r>
              <w:rPr>
                <w:rFonts w:ascii="Arial" w:cs="Arial" w:eastAsia="Arial" w:hAnsi="Arial"/>
                <w:sz w:val="15"/>
                <w:szCs w:val="15"/>
                <w:color w:val="00304D"/>
              </w:rPr>
              <w:t>nominees to the Board;</w:t>
            </w:r>
          </w:p>
        </w:tc>
      </w:tr>
      <w:tr>
        <w:trPr>
          <w:trHeight w:val="177"/>
        </w:trPr>
        <w:tc>
          <w:tcPr>
            <w:tcW w:w="140" w:type="dxa"/>
            <w:vAlign w:val="bottom"/>
            <w:shd w:val="clear" w:color="auto" w:fill="E5ECF1"/>
          </w:tcPr>
          <w:p>
            <w:pPr>
              <w:spacing w:after="0"/>
              <w:rPr>
                <w:sz w:val="15"/>
                <w:szCs w:val="15"/>
                <w:color w:val="auto"/>
              </w:rPr>
            </w:pPr>
          </w:p>
        </w:tc>
        <w:tc>
          <w:tcPr>
            <w:tcW w:w="1900" w:type="dxa"/>
            <w:vAlign w:val="bottom"/>
            <w:shd w:val="clear" w:color="auto" w:fill="E5ECF1"/>
          </w:tcPr>
          <w:p>
            <w:pPr>
              <w:ind w:left="60"/>
              <w:spacing w:after="0"/>
              <w:rPr>
                <w:sz w:val="20"/>
                <w:szCs w:val="20"/>
                <w:color w:val="auto"/>
              </w:rPr>
            </w:pPr>
            <w:r>
              <w:rPr>
                <w:rFonts w:ascii="Arial" w:cs="Arial" w:eastAsia="Arial" w:hAnsi="Arial"/>
                <w:sz w:val="15"/>
                <w:szCs w:val="15"/>
                <w:color w:val="00304D"/>
              </w:rPr>
              <w:t>Garden**, McCarthy, and</w:t>
            </w:r>
          </w:p>
        </w:tc>
        <w:tc>
          <w:tcPr>
            <w:tcW w:w="200" w:type="dxa"/>
            <w:vAlign w:val="bottom"/>
          </w:tcPr>
          <w:p>
            <w:pPr>
              <w:ind w:left="100"/>
              <w:spacing w:after="0"/>
              <w:rPr>
                <w:sz w:val="20"/>
                <w:szCs w:val="20"/>
                <w:color w:val="auto"/>
              </w:rPr>
            </w:pPr>
            <w:r>
              <w:rPr>
                <w:rFonts w:ascii="Arial" w:cs="Arial" w:eastAsia="Arial" w:hAnsi="Arial"/>
                <w:sz w:val="15"/>
                <w:szCs w:val="15"/>
                <w:color w:val="265E7C"/>
              </w:rPr>
              <w:t>•</w:t>
            </w:r>
          </w:p>
        </w:tc>
        <w:tc>
          <w:tcPr>
            <w:tcW w:w="9000" w:type="dxa"/>
            <w:vAlign w:val="bottom"/>
          </w:tcPr>
          <w:p>
            <w:pPr>
              <w:ind w:left="40"/>
              <w:spacing w:after="0"/>
              <w:rPr>
                <w:sz w:val="20"/>
                <w:szCs w:val="20"/>
                <w:color w:val="auto"/>
              </w:rPr>
            </w:pPr>
            <w:r>
              <w:rPr>
                <w:rFonts w:ascii="Arial" w:cs="Arial" w:eastAsia="Arial" w:hAnsi="Arial"/>
                <w:sz w:val="15"/>
                <w:szCs w:val="15"/>
                <w:color w:val="00304D"/>
              </w:rPr>
              <w:t>administering the annual Board evaluation and skillset assessment process;</w:t>
            </w:r>
          </w:p>
        </w:tc>
      </w:tr>
      <w:tr>
        <w:trPr>
          <w:trHeight w:val="177"/>
        </w:trPr>
        <w:tc>
          <w:tcPr>
            <w:tcW w:w="140" w:type="dxa"/>
            <w:vAlign w:val="bottom"/>
            <w:shd w:val="clear" w:color="auto" w:fill="E5ECF1"/>
          </w:tcPr>
          <w:p>
            <w:pPr>
              <w:spacing w:after="0"/>
              <w:rPr>
                <w:sz w:val="15"/>
                <w:szCs w:val="15"/>
                <w:color w:val="auto"/>
              </w:rPr>
            </w:pPr>
          </w:p>
        </w:tc>
        <w:tc>
          <w:tcPr>
            <w:tcW w:w="1900" w:type="dxa"/>
            <w:vAlign w:val="bottom"/>
            <w:shd w:val="clear" w:color="auto" w:fill="E5ECF1"/>
          </w:tcPr>
          <w:p>
            <w:pPr>
              <w:ind w:left="60"/>
              <w:spacing w:after="0"/>
              <w:rPr>
                <w:sz w:val="20"/>
                <w:szCs w:val="20"/>
                <w:color w:val="auto"/>
              </w:rPr>
            </w:pPr>
            <w:r>
              <w:rPr>
                <w:rFonts w:ascii="Arial" w:cs="Arial" w:eastAsia="Arial" w:hAnsi="Arial"/>
                <w:sz w:val="15"/>
                <w:szCs w:val="15"/>
                <w:color w:val="00304D"/>
              </w:rPr>
              <w:t>Nerbonne</w:t>
            </w:r>
          </w:p>
        </w:tc>
        <w:tc>
          <w:tcPr>
            <w:tcW w:w="200" w:type="dxa"/>
            <w:vAlign w:val="bottom"/>
          </w:tcPr>
          <w:p>
            <w:pPr>
              <w:ind w:left="100"/>
              <w:spacing w:after="0"/>
              <w:rPr>
                <w:sz w:val="20"/>
                <w:szCs w:val="20"/>
                <w:color w:val="auto"/>
              </w:rPr>
            </w:pPr>
            <w:r>
              <w:rPr>
                <w:rFonts w:ascii="Arial" w:cs="Arial" w:eastAsia="Arial" w:hAnsi="Arial"/>
                <w:sz w:val="15"/>
                <w:szCs w:val="15"/>
                <w:color w:val="265E7C"/>
              </w:rPr>
              <w:t>•</w:t>
            </w:r>
          </w:p>
        </w:tc>
        <w:tc>
          <w:tcPr>
            <w:tcW w:w="9000" w:type="dxa"/>
            <w:vAlign w:val="bottom"/>
          </w:tcPr>
          <w:p>
            <w:pPr>
              <w:ind w:left="40"/>
              <w:spacing w:after="0"/>
              <w:rPr>
                <w:sz w:val="20"/>
                <w:szCs w:val="20"/>
                <w:color w:val="auto"/>
              </w:rPr>
            </w:pPr>
            <w:r>
              <w:rPr>
                <w:rFonts w:ascii="Arial" w:cs="Arial" w:eastAsia="Arial" w:hAnsi="Arial"/>
                <w:sz w:val="15"/>
                <w:szCs w:val="15"/>
                <w:color w:val="00304D"/>
              </w:rPr>
              <w:t>maintaining Middleby’s director training programs;</w:t>
            </w:r>
          </w:p>
        </w:tc>
      </w:tr>
      <w:tr>
        <w:trPr>
          <w:trHeight w:val="177"/>
        </w:trPr>
        <w:tc>
          <w:tcPr>
            <w:tcW w:w="2040" w:type="dxa"/>
            <w:vAlign w:val="bottom"/>
            <w:gridSpan w:val="2"/>
            <w:shd w:val="clear" w:color="auto" w:fill="E5ECF1"/>
          </w:tcPr>
          <w:p>
            <w:pPr>
              <w:ind w:left="60"/>
              <w:spacing w:after="0"/>
              <w:rPr>
                <w:sz w:val="20"/>
                <w:szCs w:val="20"/>
                <w:color w:val="auto"/>
              </w:rPr>
            </w:pPr>
            <w:r>
              <w:rPr>
                <w:rFonts w:ascii="Arial" w:cs="Arial" w:eastAsia="Arial" w:hAnsi="Arial"/>
                <w:sz w:val="15"/>
                <w:szCs w:val="15"/>
                <w:b w:val="1"/>
                <w:bCs w:val="1"/>
                <w:color w:val="00304D"/>
              </w:rPr>
              <w:t>Meetings in fiscal</w:t>
            </w:r>
          </w:p>
        </w:tc>
        <w:tc>
          <w:tcPr>
            <w:tcW w:w="200" w:type="dxa"/>
            <w:vAlign w:val="bottom"/>
          </w:tcPr>
          <w:p>
            <w:pPr>
              <w:ind w:left="100"/>
              <w:spacing w:after="0"/>
              <w:rPr>
                <w:sz w:val="20"/>
                <w:szCs w:val="20"/>
                <w:color w:val="auto"/>
              </w:rPr>
            </w:pPr>
            <w:r>
              <w:rPr>
                <w:rFonts w:ascii="Arial" w:cs="Arial" w:eastAsia="Arial" w:hAnsi="Arial"/>
                <w:sz w:val="15"/>
                <w:szCs w:val="15"/>
                <w:color w:val="265E7C"/>
              </w:rPr>
              <w:t>•</w:t>
            </w:r>
          </w:p>
        </w:tc>
        <w:tc>
          <w:tcPr>
            <w:tcW w:w="9000" w:type="dxa"/>
            <w:vAlign w:val="bottom"/>
          </w:tcPr>
          <w:p>
            <w:pPr>
              <w:ind w:left="40"/>
              <w:spacing w:after="0"/>
              <w:rPr>
                <w:sz w:val="20"/>
                <w:szCs w:val="20"/>
                <w:color w:val="auto"/>
              </w:rPr>
            </w:pPr>
            <w:r>
              <w:rPr>
                <w:rFonts w:ascii="Arial" w:cs="Arial" w:eastAsia="Arial" w:hAnsi="Arial"/>
                <w:sz w:val="15"/>
                <w:szCs w:val="15"/>
                <w:color w:val="00304D"/>
              </w:rPr>
              <w:t>developing and recommending to the Board corporate governance principles applicable to the Company;</w:t>
            </w:r>
          </w:p>
        </w:tc>
      </w:tr>
      <w:tr>
        <w:trPr>
          <w:trHeight w:val="177"/>
        </w:trPr>
        <w:tc>
          <w:tcPr>
            <w:tcW w:w="2040" w:type="dxa"/>
            <w:vAlign w:val="bottom"/>
            <w:gridSpan w:val="2"/>
            <w:shd w:val="clear" w:color="auto" w:fill="E5ECF1"/>
          </w:tcPr>
          <w:p>
            <w:pPr>
              <w:ind w:left="60"/>
              <w:spacing w:after="0"/>
              <w:rPr>
                <w:sz w:val="20"/>
                <w:szCs w:val="20"/>
                <w:color w:val="auto"/>
              </w:rPr>
            </w:pPr>
            <w:r>
              <w:rPr>
                <w:rFonts w:ascii="Arial" w:cs="Arial" w:eastAsia="Arial" w:hAnsi="Arial"/>
                <w:sz w:val="15"/>
                <w:szCs w:val="15"/>
                <w:b w:val="1"/>
                <w:bCs w:val="1"/>
                <w:color w:val="00304D"/>
              </w:rPr>
              <w:t>year 2025:</w:t>
            </w:r>
          </w:p>
        </w:tc>
        <w:tc>
          <w:tcPr>
            <w:tcW w:w="200" w:type="dxa"/>
            <w:vAlign w:val="bottom"/>
          </w:tcPr>
          <w:p>
            <w:pPr>
              <w:ind w:left="100"/>
              <w:spacing w:after="0"/>
              <w:rPr>
                <w:sz w:val="20"/>
                <w:szCs w:val="20"/>
                <w:color w:val="auto"/>
              </w:rPr>
            </w:pPr>
            <w:r>
              <w:rPr>
                <w:rFonts w:ascii="Arial" w:cs="Arial" w:eastAsia="Arial" w:hAnsi="Arial"/>
                <w:sz w:val="15"/>
                <w:szCs w:val="15"/>
                <w:color w:val="265E7C"/>
              </w:rPr>
              <w:t>•</w:t>
            </w:r>
          </w:p>
        </w:tc>
        <w:tc>
          <w:tcPr>
            <w:tcW w:w="9000" w:type="dxa"/>
            <w:vAlign w:val="bottom"/>
          </w:tcPr>
          <w:p>
            <w:pPr>
              <w:ind w:left="40"/>
              <w:spacing w:after="0"/>
              <w:rPr>
                <w:sz w:val="20"/>
                <w:szCs w:val="20"/>
                <w:color w:val="auto"/>
              </w:rPr>
            </w:pPr>
            <w:r>
              <w:rPr>
                <w:rFonts w:ascii="Arial" w:cs="Arial" w:eastAsia="Arial" w:hAnsi="Arial"/>
                <w:sz w:val="15"/>
                <w:szCs w:val="15"/>
                <w:color w:val="00304D"/>
              </w:rPr>
              <w:t>overseeing succession planning for Board and committee members;</w:t>
            </w:r>
          </w:p>
        </w:tc>
      </w:tr>
      <w:tr>
        <w:trPr>
          <w:trHeight w:val="177"/>
        </w:trPr>
        <w:tc>
          <w:tcPr>
            <w:tcW w:w="140" w:type="dxa"/>
            <w:vAlign w:val="bottom"/>
            <w:shd w:val="clear" w:color="auto" w:fill="E5ECF1"/>
          </w:tcPr>
          <w:p>
            <w:pPr>
              <w:ind w:left="60"/>
              <w:spacing w:after="0"/>
              <w:rPr>
                <w:sz w:val="20"/>
                <w:szCs w:val="20"/>
                <w:color w:val="auto"/>
              </w:rPr>
            </w:pPr>
            <w:r>
              <w:rPr>
                <w:rFonts w:ascii="Arial" w:cs="Arial" w:eastAsia="Arial" w:hAnsi="Arial"/>
                <w:sz w:val="15"/>
                <w:szCs w:val="15"/>
                <w:color w:val="265E7C"/>
              </w:rPr>
              <w:t>•</w:t>
            </w:r>
          </w:p>
        </w:tc>
        <w:tc>
          <w:tcPr>
            <w:tcW w:w="1900" w:type="dxa"/>
            <w:vAlign w:val="bottom"/>
            <w:shd w:val="clear" w:color="auto" w:fill="E5ECF1"/>
          </w:tcPr>
          <w:p>
            <w:pPr>
              <w:ind w:left="40"/>
              <w:spacing w:after="0"/>
              <w:rPr>
                <w:sz w:val="20"/>
                <w:szCs w:val="20"/>
                <w:color w:val="auto"/>
              </w:rPr>
            </w:pPr>
            <w:r>
              <w:rPr>
                <w:rFonts w:ascii="Arial" w:cs="Arial" w:eastAsia="Arial" w:hAnsi="Arial"/>
                <w:sz w:val="15"/>
                <w:szCs w:val="15"/>
                <w:color w:val="00304D"/>
              </w:rPr>
              <w:t>twenty one times virtually,</w:t>
            </w:r>
          </w:p>
        </w:tc>
        <w:tc>
          <w:tcPr>
            <w:tcW w:w="200" w:type="dxa"/>
            <w:vAlign w:val="bottom"/>
          </w:tcPr>
          <w:p>
            <w:pPr>
              <w:ind w:left="100"/>
              <w:spacing w:after="0"/>
              <w:rPr>
                <w:sz w:val="20"/>
                <w:szCs w:val="20"/>
                <w:color w:val="auto"/>
              </w:rPr>
            </w:pPr>
            <w:r>
              <w:rPr>
                <w:rFonts w:ascii="Arial" w:cs="Arial" w:eastAsia="Arial" w:hAnsi="Arial"/>
                <w:sz w:val="15"/>
                <w:szCs w:val="15"/>
                <w:color w:val="265E7C"/>
              </w:rPr>
              <w:t>•</w:t>
            </w:r>
          </w:p>
        </w:tc>
        <w:tc>
          <w:tcPr>
            <w:tcW w:w="9000" w:type="dxa"/>
            <w:vAlign w:val="bottom"/>
          </w:tcPr>
          <w:p>
            <w:pPr>
              <w:ind w:left="40"/>
              <w:spacing w:after="0"/>
              <w:rPr>
                <w:sz w:val="20"/>
                <w:szCs w:val="20"/>
                <w:color w:val="auto"/>
              </w:rPr>
            </w:pPr>
            <w:r>
              <w:rPr>
                <w:rFonts w:ascii="Arial" w:cs="Arial" w:eastAsia="Arial" w:hAnsi="Arial"/>
                <w:sz w:val="15"/>
                <w:szCs w:val="15"/>
                <w:color w:val="00304D"/>
              </w:rPr>
              <w:t>overseeing and reviewing sustainability policies and procedures; and</w:t>
            </w:r>
          </w:p>
        </w:tc>
      </w:tr>
      <w:tr>
        <w:trPr>
          <w:trHeight w:val="219"/>
        </w:trPr>
        <w:tc>
          <w:tcPr>
            <w:tcW w:w="140" w:type="dxa"/>
            <w:vAlign w:val="bottom"/>
            <w:tcBorders>
              <w:bottom w:val="single" w:sz="8" w:color="00304D"/>
            </w:tcBorders>
            <w:shd w:val="clear" w:color="auto" w:fill="E5ECF1"/>
          </w:tcPr>
          <w:p>
            <w:pPr>
              <w:spacing w:after="0"/>
              <w:rPr>
                <w:sz w:val="19"/>
                <w:szCs w:val="19"/>
                <w:color w:val="auto"/>
              </w:rPr>
            </w:pPr>
          </w:p>
        </w:tc>
        <w:tc>
          <w:tcPr>
            <w:tcW w:w="1900" w:type="dxa"/>
            <w:vAlign w:val="bottom"/>
            <w:tcBorders>
              <w:bottom w:val="single" w:sz="8" w:color="00304D"/>
            </w:tcBorders>
            <w:shd w:val="clear" w:color="auto" w:fill="E5ECF1"/>
          </w:tcPr>
          <w:p>
            <w:pPr>
              <w:ind w:left="60"/>
              <w:spacing w:after="0"/>
              <w:rPr>
                <w:sz w:val="20"/>
                <w:szCs w:val="20"/>
                <w:color w:val="auto"/>
              </w:rPr>
            </w:pPr>
            <w:r>
              <w:rPr>
                <w:rFonts w:ascii="Arial" w:cs="Arial" w:eastAsia="Arial" w:hAnsi="Arial"/>
                <w:sz w:val="15"/>
                <w:szCs w:val="15"/>
                <w:color w:val="00304D"/>
              </w:rPr>
              <w:t>three times in person</w:t>
            </w:r>
          </w:p>
        </w:tc>
        <w:tc>
          <w:tcPr>
            <w:tcW w:w="200" w:type="dxa"/>
            <w:vAlign w:val="bottom"/>
            <w:tcBorders>
              <w:bottom w:val="single" w:sz="8" w:color="00304D"/>
            </w:tcBorders>
          </w:tcPr>
          <w:p>
            <w:pPr>
              <w:ind w:left="100"/>
              <w:spacing w:after="0"/>
              <w:rPr>
                <w:sz w:val="20"/>
                <w:szCs w:val="20"/>
                <w:color w:val="auto"/>
              </w:rPr>
            </w:pPr>
            <w:r>
              <w:rPr>
                <w:rFonts w:ascii="Arial" w:cs="Arial" w:eastAsia="Arial" w:hAnsi="Arial"/>
                <w:sz w:val="15"/>
                <w:szCs w:val="15"/>
                <w:color w:val="265E7C"/>
              </w:rPr>
              <w:t>•</w:t>
            </w:r>
          </w:p>
        </w:tc>
        <w:tc>
          <w:tcPr>
            <w:tcW w:w="9000" w:type="dxa"/>
            <w:vAlign w:val="bottom"/>
            <w:tcBorders>
              <w:bottom w:val="single" w:sz="8" w:color="00304D"/>
            </w:tcBorders>
          </w:tcPr>
          <w:p>
            <w:pPr>
              <w:ind w:left="40"/>
              <w:spacing w:after="0"/>
              <w:rPr>
                <w:sz w:val="20"/>
                <w:szCs w:val="20"/>
                <w:color w:val="auto"/>
              </w:rPr>
            </w:pPr>
            <w:r>
              <w:rPr>
                <w:rFonts w:ascii="Arial" w:cs="Arial" w:eastAsia="Arial" w:hAnsi="Arial"/>
                <w:sz w:val="15"/>
                <w:szCs w:val="15"/>
                <w:color w:val="00304D"/>
              </w:rPr>
              <w:t>evaluation of the Board and Middleby’s executive officers, including with respect to the Board’s composition and procedures.</w:t>
            </w:r>
          </w:p>
        </w:tc>
      </w:tr>
    </w:tbl>
    <w:p>
      <w:pPr>
        <w:spacing w:after="0" w:line="56" w:lineRule="exact"/>
        <w:rPr>
          <w:sz w:val="20"/>
          <w:szCs w:val="20"/>
          <w:color w:val="auto"/>
        </w:rPr>
      </w:pPr>
    </w:p>
    <w:p>
      <w:pPr>
        <w:jc w:val="both"/>
        <w:ind w:right="9860" w:firstLine="1"/>
        <w:spacing w:after="0" w:line="366" w:lineRule="auto"/>
        <w:tabs>
          <w:tab w:leader="none" w:pos="147" w:val="left"/>
        </w:tabs>
        <w:numPr>
          <w:ilvl w:val="0"/>
          <w:numId w:val="22"/>
        </w:numPr>
        <w:rPr>
          <w:rFonts w:ascii="Arial" w:cs="Arial" w:eastAsia="Arial" w:hAnsi="Arial"/>
          <w:sz w:val="13"/>
          <w:szCs w:val="13"/>
          <w:color w:val="auto"/>
        </w:rPr>
      </w:pPr>
      <w:r>
        <w:rPr>
          <w:rFonts w:ascii="Arial" w:cs="Arial" w:eastAsia="Arial" w:hAnsi="Arial"/>
          <w:sz w:val="13"/>
          <w:szCs w:val="13"/>
          <w:color w:val="auto"/>
        </w:rPr>
        <w:t>Since March 5, 2026 ** Since March 9, 2026</w:t>
      </w:r>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Service on Other Boards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do not have a policy limiting the number of other public company boards of directors upon which a director may sit. However, the NCGC considers the number of other public company boards and comparable governing bodies on which a prospective nominee or a director is a member. In addition, we expect directors to be fully committed to devoting as much time as necessary to fulfilling their Board responsibilities, both in terms of preparation for, and attendance and participation at, meetings.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Directors must provide prior written notice to the Chairperson of the NCGC before accepting a seat on the board of a public or private entity.</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In recognition of the enhanced time commitment associated with membership on a public company’s audit committee, the Board has adopted a policy that no member of the Audit Committee may serve simultaneously on the audit committees of more than two other public companies.</w:t>
      </w:r>
    </w:p>
    <w:p>
      <w:pPr>
        <w:spacing w:after="0" w:line="230"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Age and Term Limits</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We believe the Board operates most effectively with a mix of incumbent directors who have a deep understanding of Middleby and new directors who offer fresh perspectives. The Board does not currently have term limits or a mandatory retirement age.</w:t>
      </w:r>
    </w:p>
    <w:p>
      <w:pPr>
        <w:spacing w:after="0" w:line="125"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However, the NCGC and Board consistently evaluates the contributions of individual Board members to the Board and the Company. The NCGC reviews all directors annually before deciding on our nominees.</w:t>
      </w:r>
    </w:p>
    <w:p>
      <w:pPr>
        <w:spacing w:after="0" w:line="230"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Stockholder Communications With the Board</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Stockholders may contact the Board of Directors about bona fide issues or questions concerning the Company by sending an email to legal@middleby.com or by writing to the Corporate Secretary at the Company’s principal executive offices at 1400 Toastmaster Drive, Elgin, Illinois, 60120. Any matter intended for the Board of Directors, or for any individual member or members of the Board of Directors, should be directed to the email or physical address noted above, with a request to forward the communication to the intended recipient(s). In general, any stockholder communication about bona fide issues concerning the Company delivered to the Corporate Secretary will be forwarded in accordance with the stockholder’s instructions.</w:t>
      </w:r>
    </w:p>
    <w:p>
      <w:pPr>
        <w:spacing w:after="0" w:line="14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5"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Related Party Transactions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There have been no reportable related person transactions since the beginning of fiscal year 2025. The Audit Committee is responsible for reviewing, and approving related person transactions. In fulfilling this responsibility, the Audit Committee considers whether the transaction would be on fair and reasonable terms no less favorable to the Company than those that would be available in a comparable transaction in arm’s-length dealings with an unrelated third party.</w:t>
      </w:r>
    </w:p>
    <w:p>
      <w:pPr>
        <w:spacing w:after="0" w:line="243"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Governance Documents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In 2022, Middleby adopted refreshed Stock Ownership Guidelines that apply to all directors and executive officers and refreshed and made publicly available its Anti-Bribery Policy. In 2021, Middleby adopted a refreshed Code of Conduct that applies to all directors, officers, and employees. In 2020, we adopted Corporate Governance Guidelines, which, in conjunction with our Restated Certificate of Incorporation, as amended, Fifth Amended and Restated Bylaws and charters of the Board’s committees, constitute the framework of our corporate governance. The Code of Conduct and Corporate Governance Guidelines, as well as the charters for our committees, are available on our website, www. middleby.com, under “Investors—Corporate Governance.” We will post any amendment to, or waiver from, the Code of Conduct, on our website.</w:t>
      </w:r>
    </w:p>
    <w:p>
      <w:pPr>
        <w:spacing w:after="0" w:line="146"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have adopted an Insider Trading Compliance Program, which governs the purchase, sale, and/or other dispositions of the Company’s securities by our directors, officers and employees which we believe is reasonably designed to promote compliance with insider trading laws, rules and regulations, and any listing standards applicable to the Company. A copy of our Insider Trading Compliance Program is filed as Exhibit 19.1 to our Annual Report on Form 10-K for the year ended January 3, 2026.</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additional documents are available on our website, www.middleby.com, under “Investors—Corporate Governance”:</w:t>
      </w:r>
    </w:p>
    <w:p>
      <w:pPr>
        <w:spacing w:after="0" w:line="181" w:lineRule="exact"/>
        <w:rPr>
          <w:sz w:val="20"/>
          <w:szCs w:val="20"/>
          <w:color w:val="auto"/>
        </w:rPr>
      </w:pPr>
    </w:p>
    <w:p>
      <w:pPr>
        <w:ind w:left="180" w:hanging="179"/>
        <w:spacing w:after="0"/>
        <w:tabs>
          <w:tab w:leader="none" w:pos="180" w:val="left"/>
        </w:tabs>
        <w:numPr>
          <w:ilvl w:val="0"/>
          <w:numId w:val="23"/>
        </w:numPr>
        <w:rPr>
          <w:rFonts w:ascii="Arial" w:cs="Arial" w:eastAsia="Arial" w:hAnsi="Arial"/>
          <w:sz w:val="15"/>
          <w:szCs w:val="15"/>
          <w:color w:val="265E7C"/>
        </w:rPr>
      </w:pPr>
      <w:r>
        <w:rPr>
          <w:rFonts w:ascii="Arial" w:cs="Arial" w:eastAsia="Arial" w:hAnsi="Arial"/>
          <w:sz w:val="15"/>
          <w:szCs w:val="15"/>
          <w:color w:val="auto"/>
        </w:rPr>
        <w:t>Conflict Minerals Policy</w:t>
      </w:r>
    </w:p>
    <w:p>
      <w:pPr>
        <w:spacing w:after="0" w:line="79" w:lineRule="exact"/>
        <w:rPr>
          <w:rFonts w:ascii="Arial" w:cs="Arial" w:eastAsia="Arial" w:hAnsi="Arial"/>
          <w:sz w:val="15"/>
          <w:szCs w:val="15"/>
          <w:color w:val="265E7C"/>
        </w:rPr>
      </w:pPr>
    </w:p>
    <w:p>
      <w:pPr>
        <w:ind w:left="180" w:hanging="179"/>
        <w:spacing w:after="0"/>
        <w:tabs>
          <w:tab w:leader="none" w:pos="180" w:val="left"/>
        </w:tabs>
        <w:numPr>
          <w:ilvl w:val="0"/>
          <w:numId w:val="23"/>
        </w:numPr>
        <w:rPr>
          <w:rFonts w:ascii="Arial" w:cs="Arial" w:eastAsia="Arial" w:hAnsi="Arial"/>
          <w:sz w:val="15"/>
          <w:szCs w:val="15"/>
          <w:color w:val="265E7C"/>
        </w:rPr>
      </w:pPr>
      <w:r>
        <w:rPr>
          <w:rFonts w:ascii="Arial" w:cs="Arial" w:eastAsia="Arial" w:hAnsi="Arial"/>
          <w:sz w:val="15"/>
          <w:szCs w:val="15"/>
          <w:color w:val="auto"/>
        </w:rPr>
        <w:t>Insider Trading Compliance Program</w:t>
      </w:r>
    </w:p>
    <w:p>
      <w:pPr>
        <w:spacing w:after="0" w:line="79" w:lineRule="exact"/>
        <w:rPr>
          <w:rFonts w:ascii="Arial" w:cs="Arial" w:eastAsia="Arial" w:hAnsi="Arial"/>
          <w:sz w:val="15"/>
          <w:szCs w:val="15"/>
          <w:color w:val="265E7C"/>
        </w:rPr>
      </w:pPr>
    </w:p>
    <w:p>
      <w:pPr>
        <w:ind w:left="180" w:hanging="179"/>
        <w:spacing w:after="0"/>
        <w:tabs>
          <w:tab w:leader="none" w:pos="180" w:val="left"/>
        </w:tabs>
        <w:numPr>
          <w:ilvl w:val="0"/>
          <w:numId w:val="23"/>
        </w:numPr>
        <w:rPr>
          <w:rFonts w:ascii="Arial" w:cs="Arial" w:eastAsia="Arial" w:hAnsi="Arial"/>
          <w:sz w:val="15"/>
          <w:szCs w:val="15"/>
          <w:color w:val="265E7C"/>
        </w:rPr>
      </w:pPr>
      <w:r>
        <w:rPr>
          <w:rFonts w:ascii="Arial" w:cs="Arial" w:eastAsia="Arial" w:hAnsi="Arial"/>
          <w:sz w:val="15"/>
          <w:szCs w:val="15"/>
          <w:color w:val="auto"/>
        </w:rPr>
        <w:t>2025 Sustainabilty Metrics Update</w:t>
      </w:r>
    </w:p>
    <w:p>
      <w:pPr>
        <w:spacing w:after="0" w:line="79" w:lineRule="exact"/>
        <w:rPr>
          <w:rFonts w:ascii="Arial" w:cs="Arial" w:eastAsia="Arial" w:hAnsi="Arial"/>
          <w:sz w:val="15"/>
          <w:szCs w:val="15"/>
          <w:color w:val="265E7C"/>
        </w:rPr>
      </w:pPr>
    </w:p>
    <w:p>
      <w:pPr>
        <w:ind w:left="180" w:hanging="179"/>
        <w:spacing w:after="0"/>
        <w:tabs>
          <w:tab w:leader="none" w:pos="180" w:val="left"/>
        </w:tabs>
        <w:numPr>
          <w:ilvl w:val="0"/>
          <w:numId w:val="23"/>
        </w:numPr>
        <w:rPr>
          <w:rFonts w:ascii="Arial" w:cs="Arial" w:eastAsia="Arial" w:hAnsi="Arial"/>
          <w:sz w:val="15"/>
          <w:szCs w:val="15"/>
          <w:color w:val="265E7C"/>
        </w:rPr>
      </w:pPr>
      <w:r>
        <w:rPr>
          <w:rFonts w:ascii="Arial" w:cs="Arial" w:eastAsia="Arial" w:hAnsi="Arial"/>
          <w:sz w:val="15"/>
          <w:szCs w:val="15"/>
          <w:color w:val="auto"/>
        </w:rPr>
        <w:t>2024 Sustainability Metrics Update</w:t>
      </w:r>
    </w:p>
    <w:p>
      <w:pPr>
        <w:spacing w:after="0" w:line="79" w:lineRule="exact"/>
        <w:rPr>
          <w:rFonts w:ascii="Arial" w:cs="Arial" w:eastAsia="Arial" w:hAnsi="Arial"/>
          <w:sz w:val="15"/>
          <w:szCs w:val="15"/>
          <w:color w:val="265E7C"/>
        </w:rPr>
      </w:pPr>
    </w:p>
    <w:p>
      <w:pPr>
        <w:ind w:left="180" w:hanging="179"/>
        <w:spacing w:after="0"/>
        <w:tabs>
          <w:tab w:leader="none" w:pos="180" w:val="left"/>
        </w:tabs>
        <w:numPr>
          <w:ilvl w:val="0"/>
          <w:numId w:val="23"/>
        </w:numPr>
        <w:rPr>
          <w:rFonts w:ascii="Arial" w:cs="Arial" w:eastAsia="Arial" w:hAnsi="Arial"/>
          <w:sz w:val="15"/>
          <w:szCs w:val="15"/>
          <w:color w:val="265E7C"/>
        </w:rPr>
      </w:pPr>
      <w:r>
        <w:rPr>
          <w:rFonts w:ascii="Arial" w:cs="Arial" w:eastAsia="Arial" w:hAnsi="Arial"/>
          <w:sz w:val="15"/>
          <w:szCs w:val="15"/>
          <w:color w:val="auto"/>
        </w:rPr>
        <w:t>2023 Sustainability Report Update</w:t>
      </w:r>
    </w:p>
    <w:p>
      <w:pPr>
        <w:spacing w:after="0" w:line="79" w:lineRule="exact"/>
        <w:rPr>
          <w:rFonts w:ascii="Arial" w:cs="Arial" w:eastAsia="Arial" w:hAnsi="Arial"/>
          <w:sz w:val="15"/>
          <w:szCs w:val="15"/>
          <w:color w:val="265E7C"/>
        </w:rPr>
      </w:pPr>
    </w:p>
    <w:p>
      <w:pPr>
        <w:ind w:left="180" w:hanging="179"/>
        <w:spacing w:after="0"/>
        <w:tabs>
          <w:tab w:leader="none" w:pos="180" w:val="left"/>
        </w:tabs>
        <w:numPr>
          <w:ilvl w:val="0"/>
          <w:numId w:val="23"/>
        </w:numPr>
        <w:rPr>
          <w:rFonts w:ascii="Arial" w:cs="Arial" w:eastAsia="Arial" w:hAnsi="Arial"/>
          <w:sz w:val="15"/>
          <w:szCs w:val="15"/>
          <w:color w:val="265E7C"/>
        </w:rPr>
      </w:pPr>
      <w:r>
        <w:rPr>
          <w:rFonts w:ascii="Arial" w:cs="Arial" w:eastAsia="Arial" w:hAnsi="Arial"/>
          <w:sz w:val="15"/>
          <w:szCs w:val="15"/>
          <w:color w:val="auto"/>
        </w:rPr>
        <w:t>2021 Sustainability Report</w:t>
      </w:r>
    </w:p>
    <w:p>
      <w:pPr>
        <w:spacing w:after="0" w:line="79" w:lineRule="exact"/>
        <w:rPr>
          <w:rFonts w:ascii="Arial" w:cs="Arial" w:eastAsia="Arial" w:hAnsi="Arial"/>
          <w:sz w:val="15"/>
          <w:szCs w:val="15"/>
          <w:color w:val="265E7C"/>
        </w:rPr>
      </w:pPr>
    </w:p>
    <w:p>
      <w:pPr>
        <w:ind w:left="180" w:hanging="179"/>
        <w:spacing w:after="0"/>
        <w:tabs>
          <w:tab w:leader="none" w:pos="180" w:val="left"/>
        </w:tabs>
        <w:numPr>
          <w:ilvl w:val="0"/>
          <w:numId w:val="23"/>
        </w:numPr>
        <w:rPr>
          <w:rFonts w:ascii="Arial" w:cs="Arial" w:eastAsia="Arial" w:hAnsi="Arial"/>
          <w:sz w:val="15"/>
          <w:szCs w:val="15"/>
          <w:color w:val="265E7C"/>
        </w:rPr>
      </w:pPr>
      <w:r>
        <w:rPr>
          <w:rFonts w:ascii="Arial" w:cs="Arial" w:eastAsia="Arial" w:hAnsi="Arial"/>
          <w:sz w:val="15"/>
          <w:szCs w:val="15"/>
          <w:color w:val="auto"/>
        </w:rPr>
        <w:t>Accounting Complaint Procedures</w:t>
      </w:r>
    </w:p>
    <w:p>
      <w:pPr>
        <w:spacing w:after="0" w:line="79" w:lineRule="exact"/>
        <w:rPr>
          <w:rFonts w:ascii="Arial" w:cs="Arial" w:eastAsia="Arial" w:hAnsi="Arial"/>
          <w:sz w:val="15"/>
          <w:szCs w:val="15"/>
          <w:color w:val="265E7C"/>
        </w:rPr>
      </w:pPr>
    </w:p>
    <w:p>
      <w:pPr>
        <w:ind w:left="180" w:hanging="179"/>
        <w:spacing w:after="0"/>
        <w:tabs>
          <w:tab w:leader="none" w:pos="180" w:val="left"/>
        </w:tabs>
        <w:numPr>
          <w:ilvl w:val="0"/>
          <w:numId w:val="23"/>
        </w:numPr>
        <w:rPr>
          <w:rFonts w:ascii="Arial" w:cs="Arial" w:eastAsia="Arial" w:hAnsi="Arial"/>
          <w:sz w:val="15"/>
          <w:szCs w:val="15"/>
          <w:color w:val="265E7C"/>
        </w:rPr>
      </w:pPr>
      <w:r>
        <w:rPr>
          <w:rFonts w:ascii="Arial" w:cs="Arial" w:eastAsia="Arial" w:hAnsi="Arial"/>
          <w:sz w:val="15"/>
          <w:szCs w:val="15"/>
          <w:color w:val="auto"/>
        </w:rPr>
        <w:t>Clawback Policy</w:t>
      </w:r>
    </w:p>
    <w:p>
      <w:pPr>
        <w:spacing w:after="0" w:line="79" w:lineRule="exact"/>
        <w:rPr>
          <w:rFonts w:ascii="Arial" w:cs="Arial" w:eastAsia="Arial" w:hAnsi="Arial"/>
          <w:sz w:val="15"/>
          <w:szCs w:val="15"/>
          <w:color w:val="265E7C"/>
        </w:rPr>
      </w:pPr>
    </w:p>
    <w:p>
      <w:pPr>
        <w:ind w:left="180" w:hanging="179"/>
        <w:spacing w:after="0"/>
        <w:tabs>
          <w:tab w:leader="none" w:pos="180" w:val="left"/>
        </w:tabs>
        <w:numPr>
          <w:ilvl w:val="0"/>
          <w:numId w:val="23"/>
        </w:numPr>
        <w:rPr>
          <w:rFonts w:ascii="Arial" w:cs="Arial" w:eastAsia="Arial" w:hAnsi="Arial"/>
          <w:sz w:val="15"/>
          <w:szCs w:val="15"/>
          <w:color w:val="265E7C"/>
        </w:rPr>
      </w:pPr>
      <w:r>
        <w:rPr>
          <w:rFonts w:ascii="Arial" w:cs="Arial" w:eastAsia="Arial" w:hAnsi="Arial"/>
          <w:sz w:val="15"/>
          <w:szCs w:val="15"/>
          <w:color w:val="auto"/>
        </w:rPr>
        <w:t>EHS Policy</w:t>
      </w:r>
    </w:p>
    <w:p>
      <w:pPr>
        <w:spacing w:after="0" w:line="79" w:lineRule="exact"/>
        <w:rPr>
          <w:rFonts w:ascii="Arial" w:cs="Arial" w:eastAsia="Arial" w:hAnsi="Arial"/>
          <w:sz w:val="15"/>
          <w:szCs w:val="15"/>
          <w:color w:val="265E7C"/>
        </w:rPr>
      </w:pPr>
    </w:p>
    <w:p>
      <w:pPr>
        <w:ind w:left="180" w:hanging="179"/>
        <w:spacing w:after="0"/>
        <w:tabs>
          <w:tab w:leader="none" w:pos="180" w:val="left"/>
        </w:tabs>
        <w:numPr>
          <w:ilvl w:val="0"/>
          <w:numId w:val="23"/>
        </w:numPr>
        <w:rPr>
          <w:rFonts w:ascii="Arial" w:cs="Arial" w:eastAsia="Arial" w:hAnsi="Arial"/>
          <w:sz w:val="15"/>
          <w:szCs w:val="15"/>
          <w:color w:val="265E7C"/>
        </w:rPr>
      </w:pPr>
      <w:r>
        <w:rPr>
          <w:rFonts w:ascii="Arial" w:cs="Arial" w:eastAsia="Arial" w:hAnsi="Arial"/>
          <w:sz w:val="15"/>
          <w:szCs w:val="15"/>
          <w:color w:val="auto"/>
        </w:rPr>
        <w:t>Equal Employment Opportunity Policy</w:t>
      </w:r>
    </w:p>
    <w:p>
      <w:pPr>
        <w:spacing w:after="0" w:line="79" w:lineRule="exact"/>
        <w:rPr>
          <w:rFonts w:ascii="Arial" w:cs="Arial" w:eastAsia="Arial" w:hAnsi="Arial"/>
          <w:sz w:val="15"/>
          <w:szCs w:val="15"/>
          <w:color w:val="265E7C"/>
        </w:rPr>
      </w:pPr>
    </w:p>
    <w:p>
      <w:pPr>
        <w:ind w:left="180" w:hanging="179"/>
        <w:spacing w:after="0"/>
        <w:tabs>
          <w:tab w:leader="none" w:pos="180" w:val="left"/>
        </w:tabs>
        <w:numPr>
          <w:ilvl w:val="0"/>
          <w:numId w:val="23"/>
        </w:numPr>
        <w:rPr>
          <w:rFonts w:ascii="Arial" w:cs="Arial" w:eastAsia="Arial" w:hAnsi="Arial"/>
          <w:sz w:val="15"/>
          <w:szCs w:val="15"/>
          <w:color w:val="265E7C"/>
        </w:rPr>
      </w:pPr>
      <w:r>
        <w:rPr>
          <w:rFonts w:ascii="Arial" w:cs="Arial" w:eastAsia="Arial" w:hAnsi="Arial"/>
          <w:sz w:val="15"/>
          <w:szCs w:val="15"/>
          <w:color w:val="auto"/>
        </w:rPr>
        <w:t>Human Rights Policy</w:t>
      </w:r>
    </w:p>
    <w:p>
      <w:pPr>
        <w:spacing w:after="0" w:line="79" w:lineRule="exact"/>
        <w:rPr>
          <w:rFonts w:ascii="Arial" w:cs="Arial" w:eastAsia="Arial" w:hAnsi="Arial"/>
          <w:sz w:val="15"/>
          <w:szCs w:val="15"/>
          <w:color w:val="265E7C"/>
        </w:rPr>
      </w:pPr>
    </w:p>
    <w:p>
      <w:pPr>
        <w:ind w:left="180" w:hanging="179"/>
        <w:spacing w:after="0"/>
        <w:tabs>
          <w:tab w:leader="none" w:pos="180" w:val="left"/>
        </w:tabs>
        <w:numPr>
          <w:ilvl w:val="0"/>
          <w:numId w:val="23"/>
        </w:numPr>
        <w:rPr>
          <w:rFonts w:ascii="Arial" w:cs="Arial" w:eastAsia="Arial" w:hAnsi="Arial"/>
          <w:sz w:val="15"/>
          <w:szCs w:val="15"/>
          <w:color w:val="265E7C"/>
        </w:rPr>
      </w:pPr>
      <w:r>
        <w:rPr>
          <w:rFonts w:ascii="Arial" w:cs="Arial" w:eastAsia="Arial" w:hAnsi="Arial"/>
          <w:sz w:val="15"/>
          <w:szCs w:val="15"/>
          <w:color w:val="auto"/>
        </w:rPr>
        <w:t>Supplier Code of Conduct</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00304D"/>
        </w:rPr>
        <w:t>Director Stock Ownership Guidelines</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Company guidelines require our non-employee directors to own a prescribed amount of Middleby common stock, expressed as five times their annual cash compensation. Unvested time-based restricted stock units (“RSUs”) count toward a non-employee director’s required holdings. New non-employee directors who have not yet met their stock ownership requirements are required to meet their stock ownership requirements within five years after becoming a non-employee director. Stock options are not counted in the ownership calculation.</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As of January 3, 2026, all of our non-employee directors exceeded the minimum stock ownership requirements (to the extent applicable).</w:t>
      </w:r>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Director Compensation</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Company believes that having highly qualified non-employee directors is critical to our success. Non-employee directors represent the interests of our stockholders, and they contribute their experience and wisdom to guide our Company, our strategy, and our management. The Board believes that compensation for directors should reflect the work required in both their ongoing oversight and governance role and their continuous focus on driving long-term performance and stockholder value.</w:t>
      </w:r>
    </w:p>
    <w:p>
      <w:pPr>
        <w:spacing w:after="0" w:line="323"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Compensation Committee, consisting solely of independent directors, is responsible for reviewing director compensation and considering any changes to how directors are compensated.</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The full Board reviews the Compensation Committee’s recommendations and approves director compensation arrangements.</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 December 2024, the Compensation Committee engaged Aon’s Human Capital Solutions practice, a division of Aon plc (“Aon”), an independent compensation consultant, to conduct a director compensation assessment using the same peer group that was used to assess executive compensation. The Board compensation assessment analyzed peer company director compensation levels and practices, evaluated the competitiveness of the Company’s director compensation program from multiple perspectives relative</w:t>
      </w:r>
    </w:p>
    <w:p>
      <w:pPr>
        <w:spacing w:after="0" w:line="14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3"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to the peer group, and described recent market trends in director compensation. Based on Aon’s analysis and the Company’s long-term performance, the Compensation Committee determined to make no changes to director compensation with respect to the 2025 fiscal year.</w:t>
      </w:r>
    </w:p>
    <w:p>
      <w:pPr>
        <w:spacing w:after="0" w:line="125"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Non-employee director compensation for fiscal year 2025 consisted of cash and equity components. The following table shows the compensation structure. Directors do not receive meeting fees.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60" w:type="dxa"/>
            <w:vAlign w:val="bottom"/>
            <w:tcBorders>
              <w:bottom w:val="single" w:sz="8" w:color="002F50"/>
            </w:tcBorders>
          </w:tcPr>
          <w:p>
            <w:pPr>
              <w:ind w:left="60"/>
              <w:spacing w:after="0"/>
              <w:rPr>
                <w:sz w:val="20"/>
                <w:szCs w:val="20"/>
                <w:color w:val="auto"/>
              </w:rPr>
            </w:pPr>
            <w:r>
              <w:rPr>
                <w:rFonts w:ascii="Arial" w:cs="Arial" w:eastAsia="Arial" w:hAnsi="Arial"/>
                <w:sz w:val="15"/>
                <w:szCs w:val="15"/>
                <w:b w:val="1"/>
                <w:bCs w:val="1"/>
                <w:color w:val="00304D"/>
              </w:rPr>
              <w:t>Type of compensation</w:t>
            </w:r>
          </w:p>
        </w:tc>
        <w:tc>
          <w:tcPr>
            <w:tcW w:w="3120" w:type="dxa"/>
            <w:vAlign w:val="bottom"/>
            <w:tcBorders>
              <w:bottom w:val="single" w:sz="8" w:color="002F50"/>
            </w:tcBorders>
          </w:tcPr>
          <w:p>
            <w:pPr>
              <w:ind w:left="100"/>
              <w:spacing w:after="0"/>
              <w:rPr>
                <w:sz w:val="20"/>
                <w:szCs w:val="20"/>
                <w:color w:val="auto"/>
              </w:rPr>
            </w:pPr>
            <w:r>
              <w:rPr>
                <w:rFonts w:ascii="Arial" w:cs="Arial" w:eastAsia="Arial" w:hAnsi="Arial"/>
                <w:sz w:val="15"/>
                <w:szCs w:val="15"/>
                <w:b w:val="1"/>
                <w:bCs w:val="1"/>
                <w:color w:val="00304D"/>
              </w:rPr>
              <w:t>How paid</w:t>
            </w:r>
          </w:p>
        </w:tc>
        <w:tc>
          <w:tcPr>
            <w:tcW w:w="4160" w:type="dxa"/>
            <w:vAlign w:val="bottom"/>
            <w:tcBorders>
              <w:bottom w:val="single" w:sz="8" w:color="002F50"/>
            </w:tcBorders>
          </w:tcPr>
          <w:p>
            <w:pPr>
              <w:ind w:left="680"/>
              <w:spacing w:after="0"/>
              <w:rPr>
                <w:sz w:val="20"/>
                <w:szCs w:val="20"/>
                <w:color w:val="auto"/>
              </w:rPr>
            </w:pPr>
            <w:r>
              <w:rPr>
                <w:rFonts w:ascii="Arial" w:cs="Arial" w:eastAsia="Arial" w:hAnsi="Arial"/>
                <w:sz w:val="15"/>
                <w:szCs w:val="15"/>
                <w:b w:val="1"/>
                <w:bCs w:val="1"/>
                <w:color w:val="00304D"/>
              </w:rPr>
              <w:t>Amount</w:t>
            </w:r>
          </w:p>
        </w:tc>
      </w:tr>
      <w:tr>
        <w:trPr>
          <w:trHeight w:val="157"/>
        </w:trPr>
        <w:tc>
          <w:tcPr>
            <w:tcW w:w="3960" w:type="dxa"/>
            <w:vAlign w:val="bottom"/>
          </w:tcPr>
          <w:p>
            <w:pPr>
              <w:ind w:left="60"/>
              <w:spacing w:after="0" w:line="157" w:lineRule="exact"/>
              <w:rPr>
                <w:sz w:val="20"/>
                <w:szCs w:val="20"/>
                <w:color w:val="auto"/>
              </w:rPr>
            </w:pPr>
            <w:r>
              <w:rPr>
                <w:rFonts w:ascii="Arial" w:cs="Arial" w:eastAsia="Arial" w:hAnsi="Arial"/>
                <w:sz w:val="15"/>
                <w:szCs w:val="15"/>
                <w:color w:val="auto"/>
              </w:rPr>
              <w:t>Annual cash compensation for every non-employee</w:t>
            </w:r>
          </w:p>
        </w:tc>
        <w:tc>
          <w:tcPr>
            <w:tcW w:w="3120" w:type="dxa"/>
            <w:vAlign w:val="bottom"/>
          </w:tcPr>
          <w:p>
            <w:pPr>
              <w:ind w:left="100"/>
              <w:spacing w:after="0" w:line="157" w:lineRule="exact"/>
              <w:rPr>
                <w:sz w:val="20"/>
                <w:szCs w:val="20"/>
                <w:color w:val="auto"/>
              </w:rPr>
            </w:pPr>
            <w:r>
              <w:rPr>
                <w:rFonts w:ascii="Arial" w:cs="Arial" w:eastAsia="Arial" w:hAnsi="Arial"/>
                <w:sz w:val="15"/>
                <w:szCs w:val="15"/>
                <w:color w:val="auto"/>
              </w:rPr>
              <w:t>Cash, paid in quarterly installments</w:t>
            </w:r>
          </w:p>
        </w:tc>
        <w:tc>
          <w:tcPr>
            <w:tcW w:w="4160" w:type="dxa"/>
            <w:vAlign w:val="bottom"/>
          </w:tcPr>
          <w:p>
            <w:pPr>
              <w:ind w:left="680"/>
              <w:spacing w:after="0" w:line="157" w:lineRule="exact"/>
              <w:rPr>
                <w:sz w:val="20"/>
                <w:szCs w:val="20"/>
                <w:color w:val="auto"/>
              </w:rPr>
            </w:pPr>
            <w:r>
              <w:rPr>
                <w:rFonts w:ascii="Arial" w:cs="Arial" w:eastAsia="Arial" w:hAnsi="Arial"/>
                <w:sz w:val="15"/>
                <w:szCs w:val="15"/>
                <w:color w:val="auto"/>
              </w:rPr>
              <w:t>$100,000</w:t>
            </w:r>
          </w:p>
        </w:tc>
      </w:tr>
      <w:tr>
        <w:trPr>
          <w:trHeight w:val="189"/>
        </w:trPr>
        <w:tc>
          <w:tcPr>
            <w:tcW w:w="3960" w:type="dxa"/>
            <w:vAlign w:val="bottom"/>
            <w:tcBorders>
              <w:bottom w:val="single" w:sz="8" w:color="002F50"/>
            </w:tcBorders>
          </w:tcPr>
          <w:p>
            <w:pPr>
              <w:ind w:left="60"/>
              <w:spacing w:after="0"/>
              <w:rPr>
                <w:sz w:val="20"/>
                <w:szCs w:val="20"/>
                <w:color w:val="auto"/>
              </w:rPr>
            </w:pPr>
            <w:r>
              <w:rPr>
                <w:rFonts w:ascii="Arial" w:cs="Arial" w:eastAsia="Arial" w:hAnsi="Arial"/>
                <w:sz w:val="15"/>
                <w:szCs w:val="15"/>
                <w:color w:val="auto"/>
              </w:rPr>
              <w:t>director</w:t>
            </w:r>
          </w:p>
        </w:tc>
        <w:tc>
          <w:tcPr>
            <w:tcW w:w="3120" w:type="dxa"/>
            <w:vAlign w:val="bottom"/>
            <w:tcBorders>
              <w:bottom w:val="single" w:sz="8" w:color="002F50"/>
            </w:tcBorders>
          </w:tcPr>
          <w:p>
            <w:pPr>
              <w:spacing w:after="0"/>
              <w:rPr>
                <w:sz w:val="16"/>
                <w:szCs w:val="16"/>
                <w:color w:val="auto"/>
              </w:rPr>
            </w:pPr>
          </w:p>
        </w:tc>
        <w:tc>
          <w:tcPr>
            <w:tcW w:w="4160" w:type="dxa"/>
            <w:vAlign w:val="bottom"/>
            <w:tcBorders>
              <w:bottom w:val="single" w:sz="8" w:color="002F50"/>
            </w:tcBorders>
          </w:tcPr>
          <w:p>
            <w:pPr>
              <w:spacing w:after="0"/>
              <w:rPr>
                <w:sz w:val="16"/>
                <w:szCs w:val="16"/>
                <w:color w:val="auto"/>
              </w:rPr>
            </w:pPr>
          </w:p>
        </w:tc>
      </w:tr>
      <w:tr>
        <w:trPr>
          <w:trHeight w:val="169"/>
        </w:trPr>
        <w:tc>
          <w:tcPr>
            <w:tcW w:w="3960" w:type="dxa"/>
            <w:vAlign w:val="bottom"/>
            <w:tcBorders>
              <w:bottom w:val="single" w:sz="8" w:color="002F50"/>
            </w:tcBorders>
          </w:tcPr>
          <w:p>
            <w:pPr>
              <w:ind w:left="60"/>
              <w:spacing w:after="0" w:line="169" w:lineRule="exact"/>
              <w:rPr>
                <w:sz w:val="20"/>
                <w:szCs w:val="20"/>
                <w:color w:val="auto"/>
              </w:rPr>
            </w:pPr>
            <w:r>
              <w:rPr>
                <w:rFonts w:ascii="Arial" w:cs="Arial" w:eastAsia="Arial" w:hAnsi="Arial"/>
                <w:sz w:val="15"/>
                <w:szCs w:val="15"/>
                <w:color w:val="auto"/>
              </w:rPr>
              <w:t>Additional cash compensation for Chairman of the Board</w:t>
            </w:r>
          </w:p>
        </w:tc>
        <w:tc>
          <w:tcPr>
            <w:tcW w:w="3120" w:type="dxa"/>
            <w:vAlign w:val="bottom"/>
            <w:tcBorders>
              <w:bottom w:val="single" w:sz="8" w:color="002F50"/>
            </w:tcBorders>
          </w:tcPr>
          <w:p>
            <w:pPr>
              <w:ind w:left="100"/>
              <w:spacing w:after="0" w:line="169" w:lineRule="exact"/>
              <w:rPr>
                <w:sz w:val="20"/>
                <w:szCs w:val="20"/>
                <w:color w:val="auto"/>
              </w:rPr>
            </w:pPr>
            <w:r>
              <w:rPr>
                <w:rFonts w:ascii="Arial" w:cs="Arial" w:eastAsia="Arial" w:hAnsi="Arial"/>
                <w:sz w:val="15"/>
                <w:szCs w:val="15"/>
                <w:color w:val="auto"/>
              </w:rPr>
              <w:t>Cash, paid in quarterly installments</w:t>
            </w:r>
          </w:p>
        </w:tc>
        <w:tc>
          <w:tcPr>
            <w:tcW w:w="4160" w:type="dxa"/>
            <w:vAlign w:val="bottom"/>
            <w:tcBorders>
              <w:bottom w:val="single" w:sz="8" w:color="002F50"/>
            </w:tcBorders>
          </w:tcPr>
          <w:p>
            <w:pPr>
              <w:ind w:left="680"/>
              <w:spacing w:after="0" w:line="169" w:lineRule="exact"/>
              <w:rPr>
                <w:sz w:val="20"/>
                <w:szCs w:val="20"/>
                <w:color w:val="auto"/>
              </w:rPr>
            </w:pPr>
            <w:r>
              <w:rPr>
                <w:rFonts w:ascii="Arial" w:cs="Arial" w:eastAsia="Arial" w:hAnsi="Arial"/>
                <w:sz w:val="15"/>
                <w:szCs w:val="15"/>
                <w:color w:val="auto"/>
              </w:rPr>
              <w:t>$25,000</w:t>
            </w:r>
          </w:p>
        </w:tc>
      </w:tr>
      <w:tr>
        <w:trPr>
          <w:trHeight w:val="157"/>
        </w:trPr>
        <w:tc>
          <w:tcPr>
            <w:tcW w:w="3960" w:type="dxa"/>
            <w:vAlign w:val="bottom"/>
          </w:tcPr>
          <w:p>
            <w:pPr>
              <w:ind w:left="60"/>
              <w:spacing w:after="0" w:line="157" w:lineRule="exact"/>
              <w:rPr>
                <w:sz w:val="20"/>
                <w:szCs w:val="20"/>
                <w:color w:val="auto"/>
              </w:rPr>
            </w:pPr>
            <w:r>
              <w:rPr>
                <w:rFonts w:ascii="Arial" w:cs="Arial" w:eastAsia="Arial" w:hAnsi="Arial"/>
                <w:sz w:val="15"/>
                <w:szCs w:val="15"/>
                <w:color w:val="auto"/>
              </w:rPr>
              <w:t>Additional cash compensation for chairpersons of the</w:t>
            </w:r>
          </w:p>
        </w:tc>
        <w:tc>
          <w:tcPr>
            <w:tcW w:w="3120" w:type="dxa"/>
            <w:vAlign w:val="bottom"/>
          </w:tcPr>
          <w:p>
            <w:pPr>
              <w:ind w:left="100"/>
              <w:spacing w:after="0" w:line="157" w:lineRule="exact"/>
              <w:rPr>
                <w:sz w:val="20"/>
                <w:szCs w:val="20"/>
                <w:color w:val="auto"/>
              </w:rPr>
            </w:pPr>
            <w:r>
              <w:rPr>
                <w:rFonts w:ascii="Arial" w:cs="Arial" w:eastAsia="Arial" w:hAnsi="Arial"/>
                <w:sz w:val="15"/>
                <w:szCs w:val="15"/>
                <w:color w:val="auto"/>
              </w:rPr>
              <w:t>Cash, paid in quarterly installments</w:t>
            </w:r>
          </w:p>
        </w:tc>
        <w:tc>
          <w:tcPr>
            <w:tcW w:w="4160" w:type="dxa"/>
            <w:vAlign w:val="bottom"/>
          </w:tcPr>
          <w:p>
            <w:pPr>
              <w:ind w:left="680"/>
              <w:spacing w:after="0" w:line="157" w:lineRule="exact"/>
              <w:rPr>
                <w:sz w:val="20"/>
                <w:szCs w:val="20"/>
                <w:color w:val="auto"/>
              </w:rPr>
            </w:pPr>
            <w:r>
              <w:rPr>
                <w:rFonts w:ascii="Arial" w:cs="Arial" w:eastAsia="Arial" w:hAnsi="Arial"/>
                <w:sz w:val="15"/>
                <w:szCs w:val="15"/>
                <w:color w:val="auto"/>
              </w:rPr>
              <w:t>$25,000</w:t>
            </w:r>
          </w:p>
        </w:tc>
      </w:tr>
      <w:tr>
        <w:trPr>
          <w:trHeight w:val="177"/>
        </w:trPr>
        <w:tc>
          <w:tcPr>
            <w:tcW w:w="3960" w:type="dxa"/>
            <w:vAlign w:val="bottom"/>
          </w:tcPr>
          <w:p>
            <w:pPr>
              <w:ind w:left="60"/>
              <w:spacing w:after="0"/>
              <w:rPr>
                <w:sz w:val="20"/>
                <w:szCs w:val="20"/>
                <w:color w:val="auto"/>
              </w:rPr>
            </w:pPr>
            <w:r>
              <w:rPr>
                <w:rFonts w:ascii="Arial" w:cs="Arial" w:eastAsia="Arial" w:hAnsi="Arial"/>
                <w:sz w:val="15"/>
                <w:szCs w:val="15"/>
                <w:color w:val="auto"/>
              </w:rPr>
              <w:t>Audit Committee, the Compensation Committee and the</w:t>
            </w:r>
          </w:p>
        </w:tc>
        <w:tc>
          <w:tcPr>
            <w:tcW w:w="3120" w:type="dxa"/>
            <w:vAlign w:val="bottom"/>
          </w:tcPr>
          <w:p>
            <w:pPr>
              <w:spacing w:after="0"/>
              <w:rPr>
                <w:sz w:val="15"/>
                <w:szCs w:val="15"/>
                <w:color w:val="auto"/>
              </w:rPr>
            </w:pPr>
          </w:p>
        </w:tc>
        <w:tc>
          <w:tcPr>
            <w:tcW w:w="4160" w:type="dxa"/>
            <w:vAlign w:val="bottom"/>
          </w:tcPr>
          <w:p>
            <w:pPr>
              <w:spacing w:after="0"/>
              <w:rPr>
                <w:sz w:val="15"/>
                <w:szCs w:val="15"/>
                <w:color w:val="auto"/>
              </w:rPr>
            </w:pPr>
          </w:p>
        </w:tc>
      </w:tr>
      <w:tr>
        <w:trPr>
          <w:trHeight w:val="189"/>
        </w:trPr>
        <w:tc>
          <w:tcPr>
            <w:tcW w:w="3960" w:type="dxa"/>
            <w:vAlign w:val="bottom"/>
            <w:tcBorders>
              <w:bottom w:val="single" w:sz="8" w:color="002F50"/>
            </w:tcBorders>
          </w:tcPr>
          <w:p>
            <w:pPr>
              <w:ind w:left="60"/>
              <w:spacing w:after="0"/>
              <w:rPr>
                <w:sz w:val="20"/>
                <w:szCs w:val="20"/>
                <w:color w:val="auto"/>
              </w:rPr>
            </w:pPr>
            <w:r>
              <w:rPr>
                <w:rFonts w:ascii="Arial" w:cs="Arial" w:eastAsia="Arial" w:hAnsi="Arial"/>
                <w:sz w:val="15"/>
                <w:szCs w:val="15"/>
                <w:color w:val="auto"/>
              </w:rPr>
              <w:t>Nominating and Corporate Governance Committee</w:t>
            </w:r>
          </w:p>
        </w:tc>
        <w:tc>
          <w:tcPr>
            <w:tcW w:w="3120" w:type="dxa"/>
            <w:vAlign w:val="bottom"/>
            <w:tcBorders>
              <w:bottom w:val="single" w:sz="8" w:color="002F50"/>
            </w:tcBorders>
          </w:tcPr>
          <w:p>
            <w:pPr>
              <w:spacing w:after="0"/>
              <w:rPr>
                <w:sz w:val="16"/>
                <w:szCs w:val="16"/>
                <w:color w:val="auto"/>
              </w:rPr>
            </w:pPr>
          </w:p>
        </w:tc>
        <w:tc>
          <w:tcPr>
            <w:tcW w:w="4160" w:type="dxa"/>
            <w:vAlign w:val="bottom"/>
            <w:tcBorders>
              <w:bottom w:val="single" w:sz="8" w:color="002F50"/>
            </w:tcBorders>
          </w:tcPr>
          <w:p>
            <w:pPr>
              <w:spacing w:after="0"/>
              <w:rPr>
                <w:sz w:val="16"/>
                <w:szCs w:val="16"/>
                <w:color w:val="auto"/>
              </w:rPr>
            </w:pPr>
          </w:p>
        </w:tc>
      </w:tr>
      <w:tr>
        <w:trPr>
          <w:trHeight w:val="157"/>
        </w:trPr>
        <w:tc>
          <w:tcPr>
            <w:tcW w:w="3960" w:type="dxa"/>
            <w:vAlign w:val="bottom"/>
          </w:tcPr>
          <w:p>
            <w:pPr>
              <w:ind w:left="60"/>
              <w:spacing w:after="0" w:line="157" w:lineRule="exact"/>
              <w:rPr>
                <w:sz w:val="20"/>
                <w:szCs w:val="20"/>
                <w:color w:val="auto"/>
              </w:rPr>
            </w:pPr>
            <w:r>
              <w:rPr>
                <w:rFonts w:ascii="Arial" w:cs="Arial" w:eastAsia="Arial" w:hAnsi="Arial"/>
                <w:sz w:val="15"/>
                <w:szCs w:val="15"/>
                <w:color w:val="auto"/>
              </w:rPr>
              <w:t>Additional cash compensation for Audit Committee</w:t>
            </w:r>
          </w:p>
        </w:tc>
        <w:tc>
          <w:tcPr>
            <w:tcW w:w="3120" w:type="dxa"/>
            <w:vAlign w:val="bottom"/>
          </w:tcPr>
          <w:p>
            <w:pPr>
              <w:ind w:left="100"/>
              <w:spacing w:after="0" w:line="157" w:lineRule="exact"/>
              <w:rPr>
                <w:sz w:val="20"/>
                <w:szCs w:val="20"/>
                <w:color w:val="auto"/>
              </w:rPr>
            </w:pPr>
            <w:r>
              <w:rPr>
                <w:rFonts w:ascii="Arial" w:cs="Arial" w:eastAsia="Arial" w:hAnsi="Arial"/>
                <w:sz w:val="15"/>
                <w:szCs w:val="15"/>
                <w:color w:val="auto"/>
              </w:rPr>
              <w:t>Cash, paid in quarterly installments</w:t>
            </w:r>
          </w:p>
        </w:tc>
        <w:tc>
          <w:tcPr>
            <w:tcW w:w="4160" w:type="dxa"/>
            <w:vAlign w:val="bottom"/>
          </w:tcPr>
          <w:p>
            <w:pPr>
              <w:ind w:left="680"/>
              <w:spacing w:after="0" w:line="157" w:lineRule="exact"/>
              <w:rPr>
                <w:sz w:val="20"/>
                <w:szCs w:val="20"/>
                <w:color w:val="auto"/>
              </w:rPr>
            </w:pPr>
            <w:r>
              <w:rPr>
                <w:rFonts w:ascii="Arial" w:cs="Arial" w:eastAsia="Arial" w:hAnsi="Arial"/>
                <w:sz w:val="15"/>
                <w:szCs w:val="15"/>
                <w:color w:val="auto"/>
              </w:rPr>
              <w:t>$12,500</w:t>
            </w:r>
          </w:p>
        </w:tc>
      </w:tr>
      <w:tr>
        <w:trPr>
          <w:trHeight w:val="189"/>
        </w:trPr>
        <w:tc>
          <w:tcPr>
            <w:tcW w:w="3960" w:type="dxa"/>
            <w:vAlign w:val="bottom"/>
            <w:tcBorders>
              <w:bottom w:val="single" w:sz="8" w:color="002F50"/>
            </w:tcBorders>
          </w:tcPr>
          <w:p>
            <w:pPr>
              <w:ind w:left="60"/>
              <w:spacing w:after="0"/>
              <w:rPr>
                <w:sz w:val="20"/>
                <w:szCs w:val="20"/>
                <w:color w:val="auto"/>
              </w:rPr>
            </w:pPr>
            <w:r>
              <w:rPr>
                <w:rFonts w:ascii="Arial" w:cs="Arial" w:eastAsia="Arial" w:hAnsi="Arial"/>
                <w:sz w:val="15"/>
                <w:szCs w:val="15"/>
                <w:color w:val="auto"/>
              </w:rPr>
              <w:t>members</w:t>
            </w:r>
          </w:p>
        </w:tc>
        <w:tc>
          <w:tcPr>
            <w:tcW w:w="3120" w:type="dxa"/>
            <w:vAlign w:val="bottom"/>
            <w:tcBorders>
              <w:bottom w:val="single" w:sz="8" w:color="002F50"/>
            </w:tcBorders>
          </w:tcPr>
          <w:p>
            <w:pPr>
              <w:spacing w:after="0"/>
              <w:rPr>
                <w:sz w:val="16"/>
                <w:szCs w:val="16"/>
                <w:color w:val="auto"/>
              </w:rPr>
            </w:pPr>
          </w:p>
        </w:tc>
        <w:tc>
          <w:tcPr>
            <w:tcW w:w="4160" w:type="dxa"/>
            <w:vAlign w:val="bottom"/>
            <w:tcBorders>
              <w:bottom w:val="single" w:sz="8" w:color="002F50"/>
            </w:tcBorders>
          </w:tcPr>
          <w:p>
            <w:pPr>
              <w:spacing w:after="0"/>
              <w:rPr>
                <w:sz w:val="16"/>
                <w:szCs w:val="16"/>
                <w:color w:val="auto"/>
              </w:rPr>
            </w:pPr>
          </w:p>
        </w:tc>
      </w:tr>
      <w:tr>
        <w:trPr>
          <w:trHeight w:val="157"/>
        </w:trPr>
        <w:tc>
          <w:tcPr>
            <w:tcW w:w="3960" w:type="dxa"/>
            <w:vAlign w:val="bottom"/>
          </w:tcPr>
          <w:p>
            <w:pPr>
              <w:ind w:left="60"/>
              <w:spacing w:after="0" w:line="157" w:lineRule="exact"/>
              <w:rPr>
                <w:sz w:val="20"/>
                <w:szCs w:val="20"/>
                <w:color w:val="auto"/>
              </w:rPr>
            </w:pPr>
            <w:r>
              <w:rPr>
                <w:rFonts w:ascii="Arial" w:cs="Arial" w:eastAsia="Arial" w:hAnsi="Arial"/>
                <w:sz w:val="15"/>
                <w:szCs w:val="15"/>
                <w:color w:val="auto"/>
              </w:rPr>
              <w:t>Additional cash compensation for Compensation</w:t>
            </w:r>
          </w:p>
        </w:tc>
        <w:tc>
          <w:tcPr>
            <w:tcW w:w="3120" w:type="dxa"/>
            <w:vAlign w:val="bottom"/>
          </w:tcPr>
          <w:p>
            <w:pPr>
              <w:ind w:left="100"/>
              <w:spacing w:after="0" w:line="157" w:lineRule="exact"/>
              <w:rPr>
                <w:sz w:val="20"/>
                <w:szCs w:val="20"/>
                <w:color w:val="auto"/>
              </w:rPr>
            </w:pPr>
            <w:r>
              <w:rPr>
                <w:rFonts w:ascii="Arial" w:cs="Arial" w:eastAsia="Arial" w:hAnsi="Arial"/>
                <w:sz w:val="15"/>
                <w:szCs w:val="15"/>
                <w:color w:val="auto"/>
              </w:rPr>
              <w:t>Cash, paid in quarterly installments</w:t>
            </w:r>
          </w:p>
        </w:tc>
        <w:tc>
          <w:tcPr>
            <w:tcW w:w="4160" w:type="dxa"/>
            <w:vAlign w:val="bottom"/>
          </w:tcPr>
          <w:p>
            <w:pPr>
              <w:ind w:left="680"/>
              <w:spacing w:after="0" w:line="157" w:lineRule="exact"/>
              <w:rPr>
                <w:sz w:val="20"/>
                <w:szCs w:val="20"/>
                <w:color w:val="auto"/>
              </w:rPr>
            </w:pPr>
            <w:r>
              <w:rPr>
                <w:rFonts w:ascii="Arial" w:cs="Arial" w:eastAsia="Arial" w:hAnsi="Arial"/>
                <w:sz w:val="15"/>
                <w:szCs w:val="15"/>
                <w:color w:val="auto"/>
              </w:rPr>
              <w:t>$7,500</w:t>
            </w:r>
          </w:p>
        </w:tc>
      </w:tr>
      <w:tr>
        <w:trPr>
          <w:trHeight w:val="177"/>
        </w:trPr>
        <w:tc>
          <w:tcPr>
            <w:tcW w:w="3960" w:type="dxa"/>
            <w:vAlign w:val="bottom"/>
          </w:tcPr>
          <w:p>
            <w:pPr>
              <w:ind w:left="60"/>
              <w:spacing w:after="0"/>
              <w:rPr>
                <w:sz w:val="20"/>
                <w:szCs w:val="20"/>
                <w:color w:val="auto"/>
              </w:rPr>
            </w:pPr>
            <w:r>
              <w:rPr>
                <w:rFonts w:ascii="Arial" w:cs="Arial" w:eastAsia="Arial" w:hAnsi="Arial"/>
                <w:sz w:val="15"/>
                <w:szCs w:val="15"/>
                <w:color w:val="auto"/>
              </w:rPr>
              <w:t>Committee and Nominating and Corporate Governance</w:t>
            </w:r>
          </w:p>
        </w:tc>
        <w:tc>
          <w:tcPr>
            <w:tcW w:w="3120" w:type="dxa"/>
            <w:vAlign w:val="bottom"/>
          </w:tcPr>
          <w:p>
            <w:pPr>
              <w:spacing w:after="0"/>
              <w:rPr>
                <w:sz w:val="15"/>
                <w:szCs w:val="15"/>
                <w:color w:val="auto"/>
              </w:rPr>
            </w:pPr>
          </w:p>
        </w:tc>
        <w:tc>
          <w:tcPr>
            <w:tcW w:w="4160" w:type="dxa"/>
            <w:vAlign w:val="bottom"/>
          </w:tcPr>
          <w:p>
            <w:pPr>
              <w:spacing w:after="0"/>
              <w:rPr>
                <w:sz w:val="15"/>
                <w:szCs w:val="15"/>
                <w:color w:val="auto"/>
              </w:rPr>
            </w:pPr>
          </w:p>
        </w:tc>
      </w:tr>
      <w:tr>
        <w:trPr>
          <w:trHeight w:val="199"/>
        </w:trPr>
        <w:tc>
          <w:tcPr>
            <w:tcW w:w="3960" w:type="dxa"/>
            <w:vAlign w:val="bottom"/>
          </w:tcPr>
          <w:p>
            <w:pPr>
              <w:ind w:left="60"/>
              <w:spacing w:after="0"/>
              <w:rPr>
                <w:sz w:val="20"/>
                <w:szCs w:val="20"/>
                <w:color w:val="auto"/>
              </w:rPr>
            </w:pPr>
            <w:r>
              <w:rPr>
                <w:rFonts w:ascii="Arial" w:cs="Arial" w:eastAsia="Arial" w:hAnsi="Arial"/>
                <w:sz w:val="15"/>
                <w:szCs w:val="15"/>
                <w:color w:val="auto"/>
              </w:rPr>
              <w:t>Committee members</w:t>
            </w:r>
          </w:p>
        </w:tc>
        <w:tc>
          <w:tcPr>
            <w:tcW w:w="3120" w:type="dxa"/>
            <w:vAlign w:val="bottom"/>
          </w:tcPr>
          <w:p>
            <w:pPr>
              <w:spacing w:after="0"/>
              <w:rPr>
                <w:sz w:val="17"/>
                <w:szCs w:val="17"/>
                <w:color w:val="auto"/>
              </w:rPr>
            </w:pPr>
          </w:p>
        </w:tc>
        <w:tc>
          <w:tcPr>
            <w:tcW w:w="41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714121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p>
      <w:pPr>
        <w:ind w:left="60"/>
        <w:spacing w:after="0"/>
        <w:tabs>
          <w:tab w:leader="none" w:pos="4040" w:val="left"/>
        </w:tabs>
        <w:rPr>
          <w:sz w:val="20"/>
          <w:szCs w:val="20"/>
          <w:color w:val="auto"/>
        </w:rPr>
      </w:pPr>
      <w:r>
        <w:rPr>
          <w:rFonts w:ascii="Arial" w:cs="Arial" w:eastAsia="Arial" w:hAnsi="Arial"/>
          <w:sz w:val="15"/>
          <w:szCs w:val="15"/>
          <w:color w:val="auto"/>
        </w:rPr>
        <w:t>Equity for every non-employee director</w:t>
      </w:r>
      <w:r>
        <w:rPr>
          <w:sz w:val="20"/>
          <w:szCs w:val="20"/>
          <w:color w:val="auto"/>
        </w:rPr>
        <w:tab/>
      </w:r>
      <w:r>
        <w:rPr>
          <w:rFonts w:ascii="Arial" w:cs="Arial" w:eastAsia="Arial" w:hAnsi="Arial"/>
          <w:sz w:val="15"/>
          <w:szCs w:val="15"/>
          <w:color w:val="auto"/>
        </w:rPr>
        <w:t>RSUs awarded in March of each year with a one-year</w:t>
      </w:r>
    </w:p>
    <w:p>
      <w:pPr>
        <w:spacing w:after="0" w:line="8" w:lineRule="exact"/>
        <w:rPr>
          <w:sz w:val="20"/>
          <w:szCs w:val="20"/>
          <w:color w:val="auto"/>
        </w:rPr>
      </w:pPr>
    </w:p>
    <w:p>
      <w:pPr>
        <w:ind w:left="4060"/>
        <w:spacing w:after="0"/>
        <w:rPr>
          <w:sz w:val="20"/>
          <w:szCs w:val="20"/>
          <w:color w:val="auto"/>
        </w:rPr>
      </w:pPr>
      <w:r>
        <w:rPr>
          <w:rFonts w:ascii="Arial" w:cs="Arial" w:eastAsia="Arial" w:hAnsi="Arial"/>
          <w:sz w:val="15"/>
          <w:szCs w:val="15"/>
          <w:color w:val="auto"/>
        </w:rPr>
        <w:t>vesting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113665</wp:posOffset>
            </wp:positionV>
            <wp:extent cx="7141210" cy="158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80"/>
        <w:spacing w:after="0" w:line="257" w:lineRule="auto"/>
        <w:rPr>
          <w:sz w:val="20"/>
          <w:szCs w:val="20"/>
          <w:color w:val="auto"/>
        </w:rPr>
      </w:pPr>
      <w:r>
        <w:rPr>
          <w:rFonts w:ascii="Arial" w:cs="Arial" w:eastAsia="Arial" w:hAnsi="Arial"/>
          <w:sz w:val="15"/>
          <w:szCs w:val="15"/>
          <w:color w:val="auto"/>
        </w:rPr>
        <w:t>Aggregate value of $175,000 based on the price of Middleby’s common stock at the close of business on the grant date</w:t>
      </w:r>
    </w:p>
    <w:p>
      <w:pPr>
        <w:spacing w:after="0" w:line="200" w:lineRule="exact"/>
        <w:rPr>
          <w:sz w:val="20"/>
          <w:szCs w:val="20"/>
          <w:color w:val="auto"/>
        </w:rPr>
      </w:pPr>
    </w:p>
    <w:p>
      <w:pPr>
        <w:sectPr>
          <w:pgSz w:w="11900" w:h="16838" w:orient="portrait"/>
          <w:cols w:equalWidth="0" w:num="2">
            <w:col w:w="7640" w:space="120"/>
            <w:col w:w="3480"/>
          </w:cols>
          <w:pgMar w:left="320" w:top="231" w:right="3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00304D"/>
        </w:rPr>
        <w:t>Director Compensation for Fiscal Year 2025</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following table shows the annual and long-term compensation for services to the Company performed by the non-employee directors during fiscal year 2025. Mr. FitzGerald’s compensation is discussed in the Compensation Discussion and Analysis section of this Proxy Statement and presented in “</w:t>
      </w:r>
      <w:r>
        <w:rPr>
          <w:rFonts w:ascii="Arial" w:cs="Arial" w:eastAsia="Arial" w:hAnsi="Arial"/>
          <w:sz w:val="15"/>
          <w:szCs w:val="15"/>
          <w:i w:val="1"/>
          <w:iCs w:val="1"/>
          <w:color w:val="auto"/>
        </w:rPr>
        <w:t>Summary Compensation</w:t>
      </w:r>
      <w:r>
        <w:rPr>
          <w:rFonts w:ascii="Arial" w:cs="Arial" w:eastAsia="Arial" w:hAnsi="Arial"/>
          <w:sz w:val="15"/>
          <w:szCs w:val="15"/>
          <w:color w:val="auto"/>
        </w:rPr>
        <w:t xml:space="preserve"> </w:t>
      </w:r>
      <w:r>
        <w:rPr>
          <w:rFonts w:ascii="Arial" w:cs="Arial" w:eastAsia="Arial" w:hAnsi="Arial"/>
          <w:sz w:val="15"/>
          <w:szCs w:val="15"/>
          <w:i w:val="1"/>
          <w:iCs w:val="1"/>
          <w:color w:val="auto"/>
        </w:rPr>
        <w:t>Table for Fiscal Year 2025</w:t>
      </w:r>
      <w:r>
        <w:rPr>
          <w:rFonts w:ascii="Arial" w:cs="Arial" w:eastAsia="Arial" w:hAnsi="Arial"/>
          <w:sz w:val="15"/>
          <w:szCs w:val="15"/>
          <w:color w:val="auto"/>
        </w:rPr>
        <w:t>”. He did not receive any additional compensation for his service as a director.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40" w:type="dxa"/>
            <w:vAlign w:val="bottom"/>
          </w:tcPr>
          <w:p>
            <w:pPr>
              <w:spacing w:after="0"/>
              <w:rPr>
                <w:sz w:val="15"/>
                <w:szCs w:val="15"/>
                <w:color w:val="auto"/>
              </w:rPr>
            </w:pPr>
          </w:p>
        </w:tc>
        <w:tc>
          <w:tcPr>
            <w:tcW w:w="2720" w:type="dxa"/>
            <w:vAlign w:val="bottom"/>
          </w:tcPr>
          <w:p>
            <w:pPr>
              <w:jc w:val="right"/>
              <w:ind w:right="144"/>
              <w:spacing w:after="0"/>
              <w:rPr>
                <w:sz w:val="20"/>
                <w:szCs w:val="20"/>
                <w:color w:val="auto"/>
              </w:rPr>
            </w:pPr>
            <w:r>
              <w:rPr>
                <w:rFonts w:ascii="Arial" w:cs="Arial" w:eastAsia="Arial" w:hAnsi="Arial"/>
                <w:sz w:val="15"/>
                <w:szCs w:val="15"/>
                <w:b w:val="1"/>
                <w:bCs w:val="1"/>
                <w:color w:val="00304D"/>
              </w:rPr>
              <w:t>Fees Earned or</w:t>
            </w:r>
          </w:p>
        </w:tc>
        <w:tc>
          <w:tcPr>
            <w:tcW w:w="138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00304D"/>
              </w:rPr>
              <w:t>Stock Awards</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5840" w:type="dxa"/>
            <w:vAlign w:val="bottom"/>
          </w:tcPr>
          <w:p>
            <w:pPr>
              <w:spacing w:after="0"/>
              <w:rPr>
                <w:sz w:val="13"/>
                <w:szCs w:val="13"/>
                <w:color w:val="auto"/>
              </w:rPr>
            </w:pPr>
          </w:p>
        </w:tc>
        <w:tc>
          <w:tcPr>
            <w:tcW w:w="2720" w:type="dxa"/>
            <w:vAlign w:val="bottom"/>
          </w:tcPr>
          <w:p>
            <w:pPr>
              <w:jc w:val="right"/>
              <w:ind w:right="144"/>
              <w:spacing w:after="0" w:line="151" w:lineRule="exact"/>
              <w:rPr>
                <w:sz w:val="20"/>
                <w:szCs w:val="20"/>
                <w:color w:val="auto"/>
              </w:rPr>
            </w:pPr>
            <w:r>
              <w:rPr>
                <w:rFonts w:ascii="Arial" w:cs="Arial" w:eastAsia="Arial" w:hAnsi="Arial"/>
                <w:sz w:val="15"/>
                <w:szCs w:val="15"/>
                <w:b w:val="1"/>
                <w:bCs w:val="1"/>
                <w:color w:val="00304D"/>
              </w:rPr>
              <w:t>Paid in Cash</w:t>
            </w:r>
          </w:p>
        </w:tc>
        <w:tc>
          <w:tcPr>
            <w:tcW w:w="1380" w:type="dxa"/>
            <w:vAlign w:val="bottom"/>
            <w:vMerge w:val="continue"/>
          </w:tcPr>
          <w:p>
            <w:pPr>
              <w:spacing w:after="0"/>
              <w:rPr>
                <w:sz w:val="13"/>
                <w:szCs w:val="13"/>
                <w:color w:val="auto"/>
              </w:rPr>
            </w:pPr>
          </w:p>
        </w:tc>
        <w:tc>
          <w:tcPr>
            <w:tcW w:w="1300" w:type="dxa"/>
            <w:vAlign w:val="bottom"/>
          </w:tcPr>
          <w:p>
            <w:pPr>
              <w:jc w:val="right"/>
              <w:spacing w:after="0" w:line="151" w:lineRule="exact"/>
              <w:rPr>
                <w:sz w:val="20"/>
                <w:szCs w:val="20"/>
                <w:color w:val="auto"/>
              </w:rPr>
            </w:pPr>
            <w:r>
              <w:rPr>
                <w:rFonts w:ascii="Arial" w:cs="Arial" w:eastAsia="Arial" w:hAnsi="Arial"/>
                <w:sz w:val="15"/>
                <w:szCs w:val="15"/>
                <w:b w:val="1"/>
                <w:bCs w:val="1"/>
                <w:color w:val="00304D"/>
              </w:rPr>
              <w:t>Total</w:t>
            </w:r>
          </w:p>
        </w:tc>
        <w:tc>
          <w:tcPr>
            <w:tcW w:w="0" w:type="dxa"/>
            <w:vAlign w:val="bottom"/>
          </w:tcPr>
          <w:p>
            <w:pPr>
              <w:spacing w:after="0"/>
              <w:rPr>
                <w:sz w:val="1"/>
                <w:szCs w:val="1"/>
                <w:color w:val="auto"/>
              </w:rPr>
            </w:pPr>
          </w:p>
        </w:tc>
      </w:tr>
      <w:tr>
        <w:trPr>
          <w:trHeight w:val="215"/>
        </w:trPr>
        <w:tc>
          <w:tcPr>
            <w:tcW w:w="5840" w:type="dxa"/>
            <w:vAlign w:val="bottom"/>
            <w:tcBorders>
              <w:bottom w:val="single" w:sz="8" w:color="002F50"/>
            </w:tcBorders>
          </w:tcPr>
          <w:p>
            <w:pPr>
              <w:ind w:left="60"/>
              <w:spacing w:after="0"/>
              <w:rPr>
                <w:sz w:val="20"/>
                <w:szCs w:val="20"/>
                <w:color w:val="auto"/>
              </w:rPr>
            </w:pPr>
            <w:r>
              <w:rPr>
                <w:rFonts w:ascii="Arial" w:cs="Arial" w:eastAsia="Arial" w:hAnsi="Arial"/>
                <w:sz w:val="15"/>
                <w:szCs w:val="15"/>
                <w:b w:val="1"/>
                <w:bCs w:val="1"/>
                <w:color w:val="00304D"/>
              </w:rPr>
              <w:t>Name</w:t>
            </w:r>
          </w:p>
        </w:tc>
        <w:tc>
          <w:tcPr>
            <w:tcW w:w="2720" w:type="dxa"/>
            <w:vAlign w:val="bottom"/>
            <w:tcBorders>
              <w:bottom w:val="single" w:sz="8" w:color="002F50"/>
            </w:tcBorders>
          </w:tcPr>
          <w:p>
            <w:pPr>
              <w:jc w:val="right"/>
              <w:ind w:right="144"/>
              <w:spacing w:after="0"/>
              <w:rPr>
                <w:sz w:val="20"/>
                <w:szCs w:val="20"/>
                <w:color w:val="auto"/>
              </w:rPr>
            </w:pPr>
            <w:r>
              <w:rPr>
                <w:rFonts w:ascii="Arial" w:cs="Arial" w:eastAsia="Arial" w:hAnsi="Arial"/>
                <w:sz w:val="15"/>
                <w:szCs w:val="15"/>
                <w:b w:val="1"/>
                <w:bCs w:val="1"/>
                <w:color w:val="00304D"/>
              </w:rPr>
              <w:t>($)</w:t>
            </w:r>
          </w:p>
        </w:tc>
        <w:tc>
          <w:tcPr>
            <w:tcW w:w="1380" w:type="dxa"/>
            <w:vAlign w:val="bottom"/>
            <w:tcBorders>
              <w:bottom w:val="single" w:sz="8" w:color="002F50"/>
            </w:tcBorders>
          </w:tcPr>
          <w:p>
            <w:pPr>
              <w:jc w:val="right"/>
              <w:ind w:right="84"/>
              <w:spacing w:after="0" w:line="214" w:lineRule="exact"/>
              <w:rPr>
                <w:sz w:val="20"/>
                <w:szCs w:val="20"/>
                <w:color w:val="auto"/>
              </w:rPr>
            </w:pPr>
            <w:r>
              <w:rPr>
                <w:rFonts w:ascii="Arial" w:cs="Arial" w:eastAsia="Arial" w:hAnsi="Arial"/>
                <w:sz w:val="15"/>
                <w:szCs w:val="15"/>
                <w:b w:val="1"/>
                <w:bCs w:val="1"/>
                <w:color w:val="00304D"/>
              </w:rPr>
              <w:t>($)</w:t>
            </w:r>
            <w:r>
              <w:rPr>
                <w:rFonts w:ascii="Arial" w:cs="Arial" w:eastAsia="Arial" w:hAnsi="Arial"/>
                <w:sz w:val="24"/>
                <w:szCs w:val="24"/>
                <w:b w:val="1"/>
                <w:bCs w:val="1"/>
                <w:color w:val="00304D"/>
                <w:vertAlign w:val="superscript"/>
              </w:rPr>
              <w:t>(1)</w:t>
            </w:r>
          </w:p>
        </w:tc>
        <w:tc>
          <w:tcPr>
            <w:tcW w:w="1300" w:type="dxa"/>
            <w:vAlign w:val="bottom"/>
            <w:tcBorders>
              <w:bottom w:val="single" w:sz="8" w:color="002F50"/>
            </w:tcBorders>
          </w:tcPr>
          <w:p>
            <w:pPr>
              <w:jc w:val="right"/>
              <w:spacing w:after="0"/>
              <w:rPr>
                <w:sz w:val="20"/>
                <w:szCs w:val="20"/>
                <w:color w:val="auto"/>
              </w:rPr>
            </w:pPr>
            <w:r>
              <w:rPr>
                <w:rFonts w:ascii="Arial" w:cs="Arial" w:eastAsia="Arial" w:hAnsi="Arial"/>
                <w:sz w:val="15"/>
                <w:szCs w:val="15"/>
                <w:b w:val="1"/>
                <w:bCs w:val="1"/>
                <w:color w:val="00304D"/>
              </w:rPr>
              <w:t>($)</w:t>
            </w:r>
          </w:p>
        </w:tc>
        <w:tc>
          <w:tcPr>
            <w:tcW w:w="0" w:type="dxa"/>
            <w:vAlign w:val="bottom"/>
          </w:tcPr>
          <w:p>
            <w:pPr>
              <w:spacing w:after="0"/>
              <w:rPr>
                <w:sz w:val="1"/>
                <w:szCs w:val="1"/>
                <w:color w:val="auto"/>
              </w:rPr>
            </w:pPr>
          </w:p>
        </w:tc>
      </w:tr>
      <w:tr>
        <w:trPr>
          <w:trHeight w:val="169"/>
        </w:trPr>
        <w:tc>
          <w:tcPr>
            <w:tcW w:w="5840" w:type="dxa"/>
            <w:vAlign w:val="bottom"/>
            <w:tcBorders>
              <w:bottom w:val="single" w:sz="8" w:color="002F50"/>
            </w:tcBorders>
          </w:tcPr>
          <w:p>
            <w:pPr>
              <w:ind w:left="60"/>
              <w:spacing w:after="0" w:line="169" w:lineRule="exact"/>
              <w:rPr>
                <w:sz w:val="20"/>
                <w:szCs w:val="20"/>
                <w:color w:val="auto"/>
              </w:rPr>
            </w:pPr>
            <w:r>
              <w:rPr>
                <w:rFonts w:ascii="Arial" w:cs="Arial" w:eastAsia="Arial" w:hAnsi="Arial"/>
                <w:sz w:val="15"/>
                <w:szCs w:val="15"/>
                <w:color w:val="auto"/>
              </w:rPr>
              <w:t>Julie M. Bowerman</w:t>
            </w:r>
          </w:p>
        </w:tc>
        <w:tc>
          <w:tcPr>
            <w:tcW w:w="2720" w:type="dxa"/>
            <w:vAlign w:val="bottom"/>
            <w:tcBorders>
              <w:bottom w:val="single" w:sz="8" w:color="002F50"/>
            </w:tcBorders>
          </w:tcPr>
          <w:p>
            <w:pPr>
              <w:jc w:val="right"/>
              <w:ind w:right="144"/>
              <w:spacing w:after="0" w:line="169" w:lineRule="exact"/>
              <w:rPr>
                <w:sz w:val="20"/>
                <w:szCs w:val="20"/>
                <w:color w:val="auto"/>
              </w:rPr>
            </w:pPr>
            <w:r>
              <w:rPr>
                <w:rFonts w:ascii="Arial" w:cs="Arial" w:eastAsia="Arial" w:hAnsi="Arial"/>
                <w:sz w:val="15"/>
                <w:szCs w:val="15"/>
                <w:color w:val="auto"/>
              </w:rPr>
              <w:t>107,500</w:t>
            </w:r>
          </w:p>
        </w:tc>
        <w:tc>
          <w:tcPr>
            <w:tcW w:w="1380" w:type="dxa"/>
            <w:vAlign w:val="bottom"/>
            <w:tcBorders>
              <w:bottom w:val="single" w:sz="8" w:color="002F50"/>
            </w:tcBorders>
          </w:tcPr>
          <w:p>
            <w:pPr>
              <w:jc w:val="right"/>
              <w:ind w:right="84"/>
              <w:spacing w:after="0" w:line="169" w:lineRule="exact"/>
              <w:rPr>
                <w:sz w:val="20"/>
                <w:szCs w:val="20"/>
                <w:color w:val="auto"/>
              </w:rPr>
            </w:pPr>
            <w:r>
              <w:rPr>
                <w:rFonts w:ascii="Arial" w:cs="Arial" w:eastAsia="Arial" w:hAnsi="Arial"/>
                <w:sz w:val="15"/>
                <w:szCs w:val="15"/>
                <w:color w:val="auto"/>
              </w:rPr>
              <w:t>175,142</w:t>
            </w:r>
          </w:p>
        </w:tc>
        <w:tc>
          <w:tcPr>
            <w:tcW w:w="1300" w:type="dxa"/>
            <w:vAlign w:val="bottom"/>
            <w:tcBorders>
              <w:bottom w:val="single" w:sz="8" w:color="002F50"/>
            </w:tcBorders>
            <w:shd w:val="clear" w:color="auto" w:fill="E5ECF1"/>
          </w:tcPr>
          <w:p>
            <w:pPr>
              <w:jc w:val="right"/>
              <w:spacing w:after="0" w:line="169" w:lineRule="exact"/>
              <w:rPr>
                <w:sz w:val="20"/>
                <w:szCs w:val="20"/>
                <w:color w:val="auto"/>
              </w:rPr>
            </w:pPr>
            <w:r>
              <w:rPr>
                <w:rFonts w:ascii="Arial" w:cs="Arial" w:eastAsia="Arial" w:hAnsi="Arial"/>
                <w:sz w:val="15"/>
                <w:szCs w:val="15"/>
                <w:color w:val="auto"/>
              </w:rPr>
              <w:t>282,642</w:t>
            </w:r>
          </w:p>
        </w:tc>
        <w:tc>
          <w:tcPr>
            <w:tcW w:w="0" w:type="dxa"/>
            <w:vAlign w:val="bottom"/>
          </w:tcPr>
          <w:p>
            <w:pPr>
              <w:spacing w:after="0"/>
              <w:rPr>
                <w:sz w:val="1"/>
                <w:szCs w:val="1"/>
                <w:color w:val="auto"/>
              </w:rPr>
            </w:pPr>
          </w:p>
        </w:tc>
      </w:tr>
      <w:tr>
        <w:trPr>
          <w:trHeight w:val="157"/>
        </w:trPr>
        <w:tc>
          <w:tcPr>
            <w:tcW w:w="5840" w:type="dxa"/>
            <w:vAlign w:val="bottom"/>
          </w:tcPr>
          <w:p>
            <w:pPr>
              <w:ind w:left="60"/>
              <w:spacing w:after="0" w:line="157" w:lineRule="exact"/>
              <w:rPr>
                <w:sz w:val="20"/>
                <w:szCs w:val="20"/>
                <w:color w:val="auto"/>
              </w:rPr>
            </w:pPr>
            <w:r>
              <w:rPr>
                <w:rFonts w:ascii="Arial" w:cs="Arial" w:eastAsia="Arial" w:hAnsi="Arial"/>
                <w:sz w:val="15"/>
                <w:szCs w:val="15"/>
                <w:b w:val="1"/>
                <w:bCs w:val="1"/>
                <w:color w:val="auto"/>
              </w:rPr>
              <w:t>Sarah Palisi Chapin</w:t>
            </w:r>
          </w:p>
        </w:tc>
        <w:tc>
          <w:tcPr>
            <w:tcW w:w="2720" w:type="dxa"/>
            <w:vAlign w:val="bottom"/>
          </w:tcPr>
          <w:p>
            <w:pPr>
              <w:jc w:val="right"/>
              <w:ind w:right="144"/>
              <w:spacing w:after="0" w:line="157" w:lineRule="exact"/>
              <w:rPr>
                <w:sz w:val="20"/>
                <w:szCs w:val="20"/>
                <w:color w:val="auto"/>
              </w:rPr>
            </w:pPr>
            <w:r>
              <w:rPr>
                <w:rFonts w:ascii="Arial" w:cs="Arial" w:eastAsia="Arial" w:hAnsi="Arial"/>
                <w:sz w:val="15"/>
                <w:szCs w:val="15"/>
                <w:color w:val="auto"/>
              </w:rPr>
              <w:t>126,875</w:t>
            </w:r>
          </w:p>
        </w:tc>
        <w:tc>
          <w:tcPr>
            <w:tcW w:w="1380" w:type="dxa"/>
            <w:vAlign w:val="bottom"/>
          </w:tcPr>
          <w:p>
            <w:pPr>
              <w:jc w:val="right"/>
              <w:ind w:right="84"/>
              <w:spacing w:after="0" w:line="157" w:lineRule="exact"/>
              <w:rPr>
                <w:sz w:val="20"/>
                <w:szCs w:val="20"/>
                <w:color w:val="auto"/>
              </w:rPr>
            </w:pPr>
            <w:r>
              <w:rPr>
                <w:rFonts w:ascii="Arial" w:cs="Arial" w:eastAsia="Arial" w:hAnsi="Arial"/>
                <w:sz w:val="15"/>
                <w:szCs w:val="15"/>
                <w:color w:val="auto"/>
              </w:rPr>
              <w:t>175,142</w:t>
            </w:r>
          </w:p>
        </w:tc>
        <w:tc>
          <w:tcPr>
            <w:tcW w:w="1300" w:type="dxa"/>
            <w:vAlign w:val="bottom"/>
            <w:shd w:val="clear" w:color="auto" w:fill="E5ECF1"/>
          </w:tcPr>
          <w:p>
            <w:pPr>
              <w:jc w:val="right"/>
              <w:spacing w:after="0" w:line="157" w:lineRule="exact"/>
              <w:rPr>
                <w:sz w:val="20"/>
                <w:szCs w:val="20"/>
                <w:color w:val="auto"/>
              </w:rPr>
            </w:pPr>
            <w:r>
              <w:rPr>
                <w:rFonts w:ascii="Arial" w:cs="Arial" w:eastAsia="Arial" w:hAnsi="Arial"/>
                <w:sz w:val="15"/>
                <w:szCs w:val="15"/>
                <w:color w:val="auto"/>
              </w:rPr>
              <w:t>302,017</w:t>
            </w:r>
          </w:p>
        </w:tc>
        <w:tc>
          <w:tcPr>
            <w:tcW w:w="0" w:type="dxa"/>
            <w:vAlign w:val="bottom"/>
          </w:tcPr>
          <w:p>
            <w:pPr>
              <w:spacing w:after="0"/>
              <w:rPr>
                <w:sz w:val="1"/>
                <w:szCs w:val="1"/>
                <w:color w:val="auto"/>
              </w:rPr>
            </w:pPr>
          </w:p>
        </w:tc>
      </w:tr>
      <w:tr>
        <w:trPr>
          <w:trHeight w:val="189"/>
        </w:trPr>
        <w:tc>
          <w:tcPr>
            <w:tcW w:w="5840" w:type="dxa"/>
            <w:vAlign w:val="bottom"/>
            <w:tcBorders>
              <w:bottom w:val="single" w:sz="8" w:color="002F50"/>
            </w:tcBorders>
          </w:tcPr>
          <w:p>
            <w:pPr>
              <w:ind w:left="140"/>
              <w:spacing w:after="0"/>
              <w:rPr>
                <w:sz w:val="20"/>
                <w:szCs w:val="20"/>
                <w:color w:val="auto"/>
              </w:rPr>
            </w:pPr>
            <w:r>
              <w:rPr>
                <w:rFonts w:ascii="Arial" w:cs="Arial" w:eastAsia="Arial" w:hAnsi="Arial"/>
                <w:sz w:val="15"/>
                <w:szCs w:val="15"/>
                <w:color w:val="auto"/>
              </w:rPr>
              <w:t>Nominating and Corporate Governance Committee Chairperson</w:t>
            </w:r>
          </w:p>
        </w:tc>
        <w:tc>
          <w:tcPr>
            <w:tcW w:w="2720" w:type="dxa"/>
            <w:vAlign w:val="bottom"/>
            <w:tcBorders>
              <w:bottom w:val="single" w:sz="8" w:color="002F50"/>
            </w:tcBorders>
          </w:tcPr>
          <w:p>
            <w:pPr>
              <w:spacing w:after="0"/>
              <w:rPr>
                <w:sz w:val="16"/>
                <w:szCs w:val="16"/>
                <w:color w:val="auto"/>
              </w:rPr>
            </w:pPr>
          </w:p>
        </w:tc>
        <w:tc>
          <w:tcPr>
            <w:tcW w:w="1380" w:type="dxa"/>
            <w:vAlign w:val="bottom"/>
            <w:tcBorders>
              <w:bottom w:val="single" w:sz="8" w:color="002F50"/>
            </w:tcBorders>
          </w:tcPr>
          <w:p>
            <w:pPr>
              <w:spacing w:after="0"/>
              <w:rPr>
                <w:sz w:val="16"/>
                <w:szCs w:val="16"/>
                <w:color w:val="auto"/>
              </w:rPr>
            </w:pPr>
          </w:p>
        </w:tc>
        <w:tc>
          <w:tcPr>
            <w:tcW w:w="1300" w:type="dxa"/>
            <w:vAlign w:val="bottom"/>
            <w:tcBorders>
              <w:bottom w:val="single" w:sz="8" w:color="002F50"/>
            </w:tcBorders>
            <w:shd w:val="clear" w:color="auto" w:fill="E5ECF1"/>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40" w:type="dxa"/>
            <w:vAlign w:val="bottom"/>
            <w:tcBorders>
              <w:bottom w:val="single" w:sz="8" w:color="002F50"/>
            </w:tcBorders>
          </w:tcPr>
          <w:p>
            <w:pPr>
              <w:ind w:left="60"/>
              <w:spacing w:after="0" w:line="169" w:lineRule="exact"/>
              <w:rPr>
                <w:sz w:val="20"/>
                <w:szCs w:val="20"/>
                <w:color w:val="auto"/>
              </w:rPr>
            </w:pPr>
            <w:r>
              <w:rPr>
                <w:rFonts w:ascii="Arial" w:cs="Arial" w:eastAsia="Arial" w:hAnsi="Arial"/>
                <w:sz w:val="15"/>
                <w:szCs w:val="15"/>
                <w:b w:val="1"/>
                <w:bCs w:val="1"/>
                <w:color w:val="auto"/>
              </w:rPr>
              <w:t>Edward P. Garden</w:t>
            </w:r>
          </w:p>
        </w:tc>
        <w:tc>
          <w:tcPr>
            <w:tcW w:w="2720" w:type="dxa"/>
            <w:vAlign w:val="bottom"/>
            <w:tcBorders>
              <w:bottom w:val="single" w:sz="8" w:color="002F50"/>
            </w:tcBorders>
          </w:tcPr>
          <w:p>
            <w:pPr>
              <w:jc w:val="right"/>
              <w:ind w:right="144"/>
              <w:spacing w:after="0" w:line="169" w:lineRule="exact"/>
              <w:rPr>
                <w:sz w:val="20"/>
                <w:szCs w:val="20"/>
                <w:color w:val="auto"/>
              </w:rPr>
            </w:pPr>
            <w:r>
              <w:rPr>
                <w:rFonts w:ascii="Arial" w:cs="Arial" w:eastAsia="Arial" w:hAnsi="Arial"/>
                <w:sz w:val="15"/>
                <w:szCs w:val="15"/>
                <w:color w:val="auto"/>
              </w:rPr>
              <w:t>107,500</w:t>
            </w:r>
          </w:p>
        </w:tc>
        <w:tc>
          <w:tcPr>
            <w:tcW w:w="1380" w:type="dxa"/>
            <w:vAlign w:val="bottom"/>
            <w:tcBorders>
              <w:bottom w:val="single" w:sz="8" w:color="002F50"/>
            </w:tcBorders>
          </w:tcPr>
          <w:p>
            <w:pPr>
              <w:jc w:val="right"/>
              <w:ind w:right="84"/>
              <w:spacing w:after="0" w:line="169" w:lineRule="exact"/>
              <w:rPr>
                <w:sz w:val="20"/>
                <w:szCs w:val="20"/>
                <w:color w:val="auto"/>
              </w:rPr>
            </w:pPr>
            <w:r>
              <w:rPr>
                <w:rFonts w:ascii="Arial" w:cs="Arial" w:eastAsia="Arial" w:hAnsi="Arial"/>
                <w:sz w:val="15"/>
                <w:szCs w:val="15"/>
                <w:color w:val="auto"/>
              </w:rPr>
              <w:t>175,142</w:t>
            </w:r>
          </w:p>
        </w:tc>
        <w:tc>
          <w:tcPr>
            <w:tcW w:w="1300" w:type="dxa"/>
            <w:vAlign w:val="bottom"/>
            <w:tcBorders>
              <w:bottom w:val="single" w:sz="8" w:color="002F50"/>
            </w:tcBorders>
            <w:shd w:val="clear" w:color="auto" w:fill="E5ECF1"/>
          </w:tcPr>
          <w:p>
            <w:pPr>
              <w:jc w:val="right"/>
              <w:spacing w:after="0" w:line="169" w:lineRule="exact"/>
              <w:rPr>
                <w:sz w:val="20"/>
                <w:szCs w:val="20"/>
                <w:color w:val="auto"/>
              </w:rPr>
            </w:pPr>
            <w:r>
              <w:rPr>
                <w:rFonts w:ascii="Arial" w:cs="Arial" w:eastAsia="Arial" w:hAnsi="Arial"/>
                <w:sz w:val="15"/>
                <w:szCs w:val="15"/>
                <w:color w:val="auto"/>
              </w:rPr>
              <w:t>282,642</w:t>
            </w:r>
          </w:p>
        </w:tc>
        <w:tc>
          <w:tcPr>
            <w:tcW w:w="0" w:type="dxa"/>
            <w:vAlign w:val="bottom"/>
          </w:tcPr>
          <w:p>
            <w:pPr>
              <w:spacing w:after="0"/>
              <w:rPr>
                <w:sz w:val="1"/>
                <w:szCs w:val="1"/>
                <w:color w:val="auto"/>
              </w:rPr>
            </w:pPr>
          </w:p>
        </w:tc>
      </w:tr>
      <w:tr>
        <w:trPr>
          <w:trHeight w:val="207"/>
        </w:trPr>
        <w:tc>
          <w:tcPr>
            <w:tcW w:w="5840" w:type="dxa"/>
            <w:vAlign w:val="bottom"/>
            <w:tcBorders>
              <w:bottom w:val="single" w:sz="8" w:color="002F50"/>
            </w:tcBorders>
          </w:tcPr>
          <w:p>
            <w:pPr>
              <w:ind w:left="60"/>
              <w:spacing w:after="0" w:line="207" w:lineRule="exact"/>
              <w:rPr>
                <w:sz w:val="20"/>
                <w:szCs w:val="20"/>
                <w:color w:val="auto"/>
              </w:rPr>
            </w:pPr>
            <w:r>
              <w:rPr>
                <w:rFonts w:ascii="Arial" w:cs="Arial" w:eastAsia="Arial" w:hAnsi="Arial"/>
                <w:sz w:val="15"/>
                <w:szCs w:val="15"/>
                <w:b w:val="1"/>
                <w:bCs w:val="1"/>
                <w:color w:val="auto"/>
              </w:rPr>
              <w:t>John R. Miller III</w:t>
            </w:r>
            <w:r>
              <w:rPr>
                <w:rFonts w:ascii="Arial" w:cs="Arial" w:eastAsia="Arial" w:hAnsi="Arial"/>
                <w:sz w:val="24"/>
                <w:szCs w:val="24"/>
                <w:b w:val="1"/>
                <w:bCs w:val="1"/>
                <w:color w:val="auto"/>
                <w:vertAlign w:val="superscript"/>
              </w:rPr>
              <w:t>(2)</w:t>
            </w:r>
          </w:p>
        </w:tc>
        <w:tc>
          <w:tcPr>
            <w:tcW w:w="2720" w:type="dxa"/>
            <w:vAlign w:val="bottom"/>
            <w:tcBorders>
              <w:bottom w:val="single" w:sz="8" w:color="002F50"/>
            </w:tcBorders>
          </w:tcPr>
          <w:p>
            <w:pPr>
              <w:jc w:val="right"/>
              <w:ind w:right="144"/>
              <w:spacing w:after="0"/>
              <w:rPr>
                <w:sz w:val="20"/>
                <w:szCs w:val="20"/>
                <w:color w:val="auto"/>
              </w:rPr>
            </w:pPr>
            <w:r>
              <w:rPr>
                <w:rFonts w:ascii="Arial" w:cs="Arial" w:eastAsia="Arial" w:hAnsi="Arial"/>
                <w:sz w:val="15"/>
                <w:szCs w:val="15"/>
                <w:color w:val="auto"/>
              </w:rPr>
              <w:t>33,125</w:t>
            </w:r>
          </w:p>
        </w:tc>
        <w:tc>
          <w:tcPr>
            <w:tcW w:w="1380" w:type="dxa"/>
            <w:vAlign w:val="bottom"/>
            <w:tcBorders>
              <w:bottom w:val="single" w:sz="8" w:color="002F50"/>
            </w:tcBorders>
          </w:tcPr>
          <w:p>
            <w:pPr>
              <w:jc w:val="right"/>
              <w:ind w:right="84"/>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002F50"/>
            </w:tcBorders>
            <w:shd w:val="clear" w:color="auto" w:fill="E5ECF1"/>
          </w:tcPr>
          <w:p>
            <w:pPr>
              <w:jc w:val="right"/>
              <w:spacing w:after="0"/>
              <w:rPr>
                <w:sz w:val="20"/>
                <w:szCs w:val="20"/>
                <w:color w:val="auto"/>
              </w:rPr>
            </w:pPr>
            <w:r>
              <w:rPr>
                <w:rFonts w:ascii="Arial" w:cs="Arial" w:eastAsia="Arial" w:hAnsi="Arial"/>
                <w:sz w:val="15"/>
                <w:szCs w:val="15"/>
                <w:color w:val="auto"/>
              </w:rPr>
              <w:t>33,125</w:t>
            </w:r>
          </w:p>
        </w:tc>
        <w:tc>
          <w:tcPr>
            <w:tcW w:w="0" w:type="dxa"/>
            <w:vAlign w:val="bottom"/>
          </w:tcPr>
          <w:p>
            <w:pPr>
              <w:spacing w:after="0"/>
              <w:rPr>
                <w:sz w:val="1"/>
                <w:szCs w:val="1"/>
                <w:color w:val="auto"/>
              </w:rPr>
            </w:pPr>
          </w:p>
        </w:tc>
      </w:tr>
      <w:tr>
        <w:trPr>
          <w:trHeight w:val="157"/>
        </w:trPr>
        <w:tc>
          <w:tcPr>
            <w:tcW w:w="5840" w:type="dxa"/>
            <w:vAlign w:val="bottom"/>
          </w:tcPr>
          <w:p>
            <w:pPr>
              <w:ind w:left="60"/>
              <w:spacing w:after="0" w:line="157" w:lineRule="exact"/>
              <w:rPr>
                <w:sz w:val="20"/>
                <w:szCs w:val="20"/>
                <w:color w:val="auto"/>
              </w:rPr>
            </w:pPr>
            <w:r>
              <w:rPr>
                <w:rFonts w:ascii="Arial" w:cs="Arial" w:eastAsia="Arial" w:hAnsi="Arial"/>
                <w:sz w:val="15"/>
                <w:szCs w:val="15"/>
                <w:b w:val="1"/>
                <w:bCs w:val="1"/>
                <w:color w:val="auto"/>
              </w:rPr>
              <w:t>Cathy L. McCarthy</w:t>
            </w:r>
          </w:p>
        </w:tc>
        <w:tc>
          <w:tcPr>
            <w:tcW w:w="2720" w:type="dxa"/>
            <w:vAlign w:val="bottom"/>
          </w:tcPr>
          <w:p>
            <w:pPr>
              <w:jc w:val="right"/>
              <w:ind w:right="144"/>
              <w:spacing w:after="0" w:line="157" w:lineRule="exact"/>
              <w:rPr>
                <w:sz w:val="20"/>
                <w:szCs w:val="20"/>
                <w:color w:val="auto"/>
              </w:rPr>
            </w:pPr>
            <w:r>
              <w:rPr>
                <w:rFonts w:ascii="Arial" w:cs="Arial" w:eastAsia="Arial" w:hAnsi="Arial"/>
                <w:sz w:val="15"/>
                <w:szCs w:val="15"/>
                <w:color w:val="auto"/>
              </w:rPr>
              <w:t>132,500</w:t>
            </w:r>
          </w:p>
        </w:tc>
        <w:tc>
          <w:tcPr>
            <w:tcW w:w="1380" w:type="dxa"/>
            <w:vAlign w:val="bottom"/>
          </w:tcPr>
          <w:p>
            <w:pPr>
              <w:jc w:val="right"/>
              <w:ind w:right="84"/>
              <w:spacing w:after="0" w:line="157" w:lineRule="exact"/>
              <w:rPr>
                <w:sz w:val="20"/>
                <w:szCs w:val="20"/>
                <w:color w:val="auto"/>
              </w:rPr>
            </w:pPr>
            <w:r>
              <w:rPr>
                <w:rFonts w:ascii="Arial" w:cs="Arial" w:eastAsia="Arial" w:hAnsi="Arial"/>
                <w:sz w:val="15"/>
                <w:szCs w:val="15"/>
                <w:color w:val="auto"/>
              </w:rPr>
              <w:t>175,142</w:t>
            </w:r>
          </w:p>
        </w:tc>
        <w:tc>
          <w:tcPr>
            <w:tcW w:w="1300" w:type="dxa"/>
            <w:vAlign w:val="bottom"/>
            <w:shd w:val="clear" w:color="auto" w:fill="E5ECF1"/>
          </w:tcPr>
          <w:p>
            <w:pPr>
              <w:jc w:val="right"/>
              <w:spacing w:after="0" w:line="157" w:lineRule="exact"/>
              <w:rPr>
                <w:sz w:val="20"/>
                <w:szCs w:val="20"/>
                <w:color w:val="auto"/>
              </w:rPr>
            </w:pPr>
            <w:r>
              <w:rPr>
                <w:rFonts w:ascii="Arial" w:cs="Arial" w:eastAsia="Arial" w:hAnsi="Arial"/>
                <w:sz w:val="15"/>
                <w:szCs w:val="15"/>
                <w:color w:val="auto"/>
              </w:rPr>
              <w:t>307,642</w:t>
            </w:r>
          </w:p>
        </w:tc>
        <w:tc>
          <w:tcPr>
            <w:tcW w:w="0" w:type="dxa"/>
            <w:vAlign w:val="bottom"/>
          </w:tcPr>
          <w:p>
            <w:pPr>
              <w:spacing w:after="0"/>
              <w:rPr>
                <w:sz w:val="1"/>
                <w:szCs w:val="1"/>
                <w:color w:val="auto"/>
              </w:rPr>
            </w:pPr>
          </w:p>
        </w:tc>
      </w:tr>
      <w:tr>
        <w:trPr>
          <w:trHeight w:val="189"/>
        </w:trPr>
        <w:tc>
          <w:tcPr>
            <w:tcW w:w="5840" w:type="dxa"/>
            <w:vAlign w:val="bottom"/>
            <w:tcBorders>
              <w:bottom w:val="single" w:sz="8" w:color="002F50"/>
            </w:tcBorders>
          </w:tcPr>
          <w:p>
            <w:pPr>
              <w:ind w:left="140"/>
              <w:spacing w:after="0"/>
              <w:rPr>
                <w:sz w:val="20"/>
                <w:szCs w:val="20"/>
                <w:color w:val="auto"/>
              </w:rPr>
            </w:pPr>
            <w:r>
              <w:rPr>
                <w:rFonts w:ascii="Arial" w:cs="Arial" w:eastAsia="Arial" w:hAnsi="Arial"/>
                <w:sz w:val="15"/>
                <w:szCs w:val="15"/>
                <w:color w:val="auto"/>
              </w:rPr>
              <w:t>Audit Committee Chairperson</w:t>
            </w:r>
          </w:p>
        </w:tc>
        <w:tc>
          <w:tcPr>
            <w:tcW w:w="2720" w:type="dxa"/>
            <w:vAlign w:val="bottom"/>
            <w:tcBorders>
              <w:bottom w:val="single" w:sz="8" w:color="002F50"/>
            </w:tcBorders>
          </w:tcPr>
          <w:p>
            <w:pPr>
              <w:spacing w:after="0"/>
              <w:rPr>
                <w:sz w:val="16"/>
                <w:szCs w:val="16"/>
                <w:color w:val="auto"/>
              </w:rPr>
            </w:pPr>
          </w:p>
        </w:tc>
        <w:tc>
          <w:tcPr>
            <w:tcW w:w="1380" w:type="dxa"/>
            <w:vAlign w:val="bottom"/>
            <w:tcBorders>
              <w:bottom w:val="single" w:sz="8" w:color="002F50"/>
            </w:tcBorders>
          </w:tcPr>
          <w:p>
            <w:pPr>
              <w:spacing w:after="0"/>
              <w:rPr>
                <w:sz w:val="16"/>
                <w:szCs w:val="16"/>
                <w:color w:val="auto"/>
              </w:rPr>
            </w:pPr>
          </w:p>
        </w:tc>
        <w:tc>
          <w:tcPr>
            <w:tcW w:w="1300" w:type="dxa"/>
            <w:vAlign w:val="bottom"/>
            <w:tcBorders>
              <w:bottom w:val="single" w:sz="8" w:color="002F50"/>
            </w:tcBorders>
            <w:shd w:val="clear" w:color="auto" w:fill="E5ECF1"/>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40" w:type="dxa"/>
            <w:vAlign w:val="bottom"/>
            <w:tcBorders>
              <w:bottom w:val="single" w:sz="8" w:color="002F50"/>
            </w:tcBorders>
          </w:tcPr>
          <w:p>
            <w:pPr>
              <w:ind w:left="60"/>
              <w:spacing w:after="0" w:line="169" w:lineRule="exact"/>
              <w:rPr>
                <w:sz w:val="20"/>
                <w:szCs w:val="20"/>
                <w:color w:val="auto"/>
              </w:rPr>
            </w:pPr>
            <w:r>
              <w:rPr>
                <w:rFonts w:ascii="Arial" w:cs="Arial" w:eastAsia="Arial" w:hAnsi="Arial"/>
                <w:sz w:val="15"/>
                <w:szCs w:val="15"/>
                <w:b w:val="1"/>
                <w:bCs w:val="1"/>
                <w:color w:val="auto"/>
              </w:rPr>
              <w:t>Robert A. Nerbonne</w:t>
            </w:r>
          </w:p>
        </w:tc>
        <w:tc>
          <w:tcPr>
            <w:tcW w:w="2720" w:type="dxa"/>
            <w:vAlign w:val="bottom"/>
            <w:tcBorders>
              <w:bottom w:val="single" w:sz="8" w:color="002F50"/>
            </w:tcBorders>
          </w:tcPr>
          <w:p>
            <w:pPr>
              <w:jc w:val="right"/>
              <w:ind w:right="144"/>
              <w:spacing w:after="0" w:line="169" w:lineRule="exact"/>
              <w:rPr>
                <w:sz w:val="20"/>
                <w:szCs w:val="20"/>
                <w:color w:val="auto"/>
              </w:rPr>
            </w:pPr>
            <w:r>
              <w:rPr>
                <w:rFonts w:ascii="Arial" w:cs="Arial" w:eastAsia="Arial" w:hAnsi="Arial"/>
                <w:sz w:val="15"/>
                <w:szCs w:val="15"/>
                <w:color w:val="auto"/>
              </w:rPr>
              <w:t>107,500</w:t>
            </w:r>
          </w:p>
        </w:tc>
        <w:tc>
          <w:tcPr>
            <w:tcW w:w="1380" w:type="dxa"/>
            <w:vAlign w:val="bottom"/>
            <w:tcBorders>
              <w:bottom w:val="single" w:sz="8" w:color="002F50"/>
            </w:tcBorders>
          </w:tcPr>
          <w:p>
            <w:pPr>
              <w:jc w:val="right"/>
              <w:ind w:right="84"/>
              <w:spacing w:after="0" w:line="169" w:lineRule="exact"/>
              <w:rPr>
                <w:sz w:val="20"/>
                <w:szCs w:val="20"/>
                <w:color w:val="auto"/>
              </w:rPr>
            </w:pPr>
            <w:r>
              <w:rPr>
                <w:rFonts w:ascii="Arial" w:cs="Arial" w:eastAsia="Arial" w:hAnsi="Arial"/>
                <w:sz w:val="15"/>
                <w:szCs w:val="15"/>
                <w:color w:val="auto"/>
              </w:rPr>
              <w:t>175,142</w:t>
            </w:r>
          </w:p>
        </w:tc>
        <w:tc>
          <w:tcPr>
            <w:tcW w:w="1300" w:type="dxa"/>
            <w:vAlign w:val="bottom"/>
            <w:tcBorders>
              <w:bottom w:val="single" w:sz="8" w:color="002F50"/>
            </w:tcBorders>
            <w:shd w:val="clear" w:color="auto" w:fill="E5ECF1"/>
          </w:tcPr>
          <w:p>
            <w:pPr>
              <w:jc w:val="right"/>
              <w:spacing w:after="0" w:line="169" w:lineRule="exact"/>
              <w:rPr>
                <w:sz w:val="20"/>
                <w:szCs w:val="20"/>
                <w:color w:val="auto"/>
              </w:rPr>
            </w:pPr>
            <w:r>
              <w:rPr>
                <w:rFonts w:ascii="Arial" w:cs="Arial" w:eastAsia="Arial" w:hAnsi="Arial"/>
                <w:sz w:val="15"/>
                <w:szCs w:val="15"/>
                <w:color w:val="auto"/>
              </w:rPr>
              <w:t>282,642</w:t>
            </w:r>
          </w:p>
        </w:tc>
        <w:tc>
          <w:tcPr>
            <w:tcW w:w="0" w:type="dxa"/>
            <w:vAlign w:val="bottom"/>
          </w:tcPr>
          <w:p>
            <w:pPr>
              <w:spacing w:after="0"/>
              <w:rPr>
                <w:sz w:val="1"/>
                <w:szCs w:val="1"/>
                <w:color w:val="auto"/>
              </w:rPr>
            </w:pPr>
          </w:p>
        </w:tc>
      </w:tr>
      <w:tr>
        <w:trPr>
          <w:trHeight w:val="157"/>
        </w:trPr>
        <w:tc>
          <w:tcPr>
            <w:tcW w:w="5840" w:type="dxa"/>
            <w:vAlign w:val="bottom"/>
          </w:tcPr>
          <w:p>
            <w:pPr>
              <w:ind w:left="60"/>
              <w:spacing w:after="0" w:line="157" w:lineRule="exact"/>
              <w:rPr>
                <w:sz w:val="20"/>
                <w:szCs w:val="20"/>
                <w:color w:val="auto"/>
              </w:rPr>
            </w:pPr>
            <w:r>
              <w:rPr>
                <w:rFonts w:ascii="Arial" w:cs="Arial" w:eastAsia="Arial" w:hAnsi="Arial"/>
                <w:sz w:val="15"/>
                <w:szCs w:val="15"/>
                <w:b w:val="1"/>
                <w:bCs w:val="1"/>
                <w:color w:val="auto"/>
              </w:rPr>
              <w:t>Gordon J. O’Brien</w:t>
            </w:r>
          </w:p>
        </w:tc>
        <w:tc>
          <w:tcPr>
            <w:tcW w:w="2720" w:type="dxa"/>
            <w:vAlign w:val="bottom"/>
          </w:tcPr>
          <w:p>
            <w:pPr>
              <w:jc w:val="right"/>
              <w:ind w:right="144"/>
              <w:spacing w:after="0" w:line="157" w:lineRule="exact"/>
              <w:rPr>
                <w:sz w:val="20"/>
                <w:szCs w:val="20"/>
                <w:color w:val="auto"/>
              </w:rPr>
            </w:pPr>
            <w:r>
              <w:rPr>
                <w:rFonts w:ascii="Arial" w:cs="Arial" w:eastAsia="Arial" w:hAnsi="Arial"/>
                <w:sz w:val="15"/>
                <w:szCs w:val="15"/>
                <w:color w:val="auto"/>
              </w:rPr>
              <w:t>132,500</w:t>
            </w:r>
          </w:p>
        </w:tc>
        <w:tc>
          <w:tcPr>
            <w:tcW w:w="1380" w:type="dxa"/>
            <w:vAlign w:val="bottom"/>
          </w:tcPr>
          <w:p>
            <w:pPr>
              <w:jc w:val="right"/>
              <w:ind w:right="84"/>
              <w:spacing w:after="0" w:line="157" w:lineRule="exact"/>
              <w:rPr>
                <w:sz w:val="20"/>
                <w:szCs w:val="20"/>
                <w:color w:val="auto"/>
              </w:rPr>
            </w:pPr>
            <w:r>
              <w:rPr>
                <w:rFonts w:ascii="Arial" w:cs="Arial" w:eastAsia="Arial" w:hAnsi="Arial"/>
                <w:sz w:val="15"/>
                <w:szCs w:val="15"/>
                <w:color w:val="auto"/>
              </w:rPr>
              <w:t>175,142</w:t>
            </w:r>
          </w:p>
        </w:tc>
        <w:tc>
          <w:tcPr>
            <w:tcW w:w="1300" w:type="dxa"/>
            <w:vAlign w:val="bottom"/>
            <w:shd w:val="clear" w:color="auto" w:fill="E5ECF1"/>
          </w:tcPr>
          <w:p>
            <w:pPr>
              <w:jc w:val="right"/>
              <w:spacing w:after="0" w:line="157" w:lineRule="exact"/>
              <w:rPr>
                <w:sz w:val="20"/>
                <w:szCs w:val="20"/>
                <w:color w:val="auto"/>
              </w:rPr>
            </w:pPr>
            <w:r>
              <w:rPr>
                <w:rFonts w:ascii="Arial" w:cs="Arial" w:eastAsia="Arial" w:hAnsi="Arial"/>
                <w:sz w:val="15"/>
                <w:szCs w:val="15"/>
                <w:color w:val="auto"/>
              </w:rPr>
              <w:t>307,642</w:t>
            </w:r>
          </w:p>
        </w:tc>
        <w:tc>
          <w:tcPr>
            <w:tcW w:w="0" w:type="dxa"/>
            <w:vAlign w:val="bottom"/>
          </w:tcPr>
          <w:p>
            <w:pPr>
              <w:spacing w:after="0"/>
              <w:rPr>
                <w:sz w:val="1"/>
                <w:szCs w:val="1"/>
                <w:color w:val="auto"/>
              </w:rPr>
            </w:pPr>
          </w:p>
        </w:tc>
      </w:tr>
      <w:tr>
        <w:trPr>
          <w:trHeight w:val="189"/>
        </w:trPr>
        <w:tc>
          <w:tcPr>
            <w:tcW w:w="5840" w:type="dxa"/>
            <w:vAlign w:val="bottom"/>
            <w:tcBorders>
              <w:bottom w:val="single" w:sz="8" w:color="002F50"/>
            </w:tcBorders>
          </w:tcPr>
          <w:p>
            <w:pPr>
              <w:ind w:left="140"/>
              <w:spacing w:after="0"/>
              <w:rPr>
                <w:sz w:val="20"/>
                <w:szCs w:val="20"/>
                <w:color w:val="auto"/>
              </w:rPr>
            </w:pPr>
            <w:r>
              <w:rPr>
                <w:rFonts w:ascii="Arial" w:cs="Arial" w:eastAsia="Arial" w:hAnsi="Arial"/>
                <w:sz w:val="15"/>
                <w:szCs w:val="15"/>
                <w:color w:val="auto"/>
              </w:rPr>
              <w:t>Chairman of the Board</w:t>
            </w:r>
          </w:p>
        </w:tc>
        <w:tc>
          <w:tcPr>
            <w:tcW w:w="2720" w:type="dxa"/>
            <w:vAlign w:val="bottom"/>
            <w:tcBorders>
              <w:bottom w:val="single" w:sz="8" w:color="002F50"/>
            </w:tcBorders>
          </w:tcPr>
          <w:p>
            <w:pPr>
              <w:spacing w:after="0"/>
              <w:rPr>
                <w:sz w:val="16"/>
                <w:szCs w:val="16"/>
                <w:color w:val="auto"/>
              </w:rPr>
            </w:pPr>
          </w:p>
        </w:tc>
        <w:tc>
          <w:tcPr>
            <w:tcW w:w="1380" w:type="dxa"/>
            <w:vAlign w:val="bottom"/>
            <w:tcBorders>
              <w:bottom w:val="single" w:sz="8" w:color="002F50"/>
            </w:tcBorders>
          </w:tcPr>
          <w:p>
            <w:pPr>
              <w:spacing w:after="0"/>
              <w:rPr>
                <w:sz w:val="16"/>
                <w:szCs w:val="16"/>
                <w:color w:val="auto"/>
              </w:rPr>
            </w:pPr>
          </w:p>
        </w:tc>
        <w:tc>
          <w:tcPr>
            <w:tcW w:w="1300" w:type="dxa"/>
            <w:vAlign w:val="bottom"/>
            <w:tcBorders>
              <w:bottom w:val="single" w:sz="8" w:color="002F50"/>
            </w:tcBorders>
            <w:shd w:val="clear" w:color="auto" w:fill="E5ECF1"/>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840" w:type="dxa"/>
            <w:vAlign w:val="bottom"/>
          </w:tcPr>
          <w:p>
            <w:pPr>
              <w:ind w:left="60"/>
              <w:spacing w:after="0" w:line="157" w:lineRule="exact"/>
              <w:rPr>
                <w:sz w:val="20"/>
                <w:szCs w:val="20"/>
                <w:color w:val="auto"/>
              </w:rPr>
            </w:pPr>
            <w:r>
              <w:rPr>
                <w:rFonts w:ascii="Arial" w:cs="Arial" w:eastAsia="Arial" w:hAnsi="Arial"/>
                <w:sz w:val="15"/>
                <w:szCs w:val="15"/>
                <w:b w:val="1"/>
                <w:bCs w:val="1"/>
                <w:color w:val="auto"/>
              </w:rPr>
              <w:t>Stephen R. Scherger</w:t>
            </w:r>
          </w:p>
        </w:tc>
        <w:tc>
          <w:tcPr>
            <w:tcW w:w="2720" w:type="dxa"/>
            <w:vAlign w:val="bottom"/>
          </w:tcPr>
          <w:p>
            <w:pPr>
              <w:jc w:val="right"/>
              <w:ind w:right="144"/>
              <w:spacing w:after="0" w:line="157" w:lineRule="exact"/>
              <w:rPr>
                <w:sz w:val="20"/>
                <w:szCs w:val="20"/>
                <w:color w:val="auto"/>
              </w:rPr>
            </w:pPr>
            <w:r>
              <w:rPr>
                <w:rFonts w:ascii="Arial" w:cs="Arial" w:eastAsia="Arial" w:hAnsi="Arial"/>
                <w:sz w:val="15"/>
                <w:szCs w:val="15"/>
                <w:color w:val="auto"/>
              </w:rPr>
              <w:t>132,500</w:t>
            </w:r>
          </w:p>
        </w:tc>
        <w:tc>
          <w:tcPr>
            <w:tcW w:w="1380" w:type="dxa"/>
            <w:vAlign w:val="bottom"/>
          </w:tcPr>
          <w:p>
            <w:pPr>
              <w:jc w:val="right"/>
              <w:ind w:right="84"/>
              <w:spacing w:after="0" w:line="157" w:lineRule="exact"/>
              <w:rPr>
                <w:sz w:val="20"/>
                <w:szCs w:val="20"/>
                <w:color w:val="auto"/>
              </w:rPr>
            </w:pPr>
            <w:r>
              <w:rPr>
                <w:rFonts w:ascii="Arial" w:cs="Arial" w:eastAsia="Arial" w:hAnsi="Arial"/>
                <w:sz w:val="15"/>
                <w:szCs w:val="15"/>
                <w:color w:val="auto"/>
              </w:rPr>
              <w:t>175,142</w:t>
            </w:r>
          </w:p>
        </w:tc>
        <w:tc>
          <w:tcPr>
            <w:tcW w:w="1300" w:type="dxa"/>
            <w:vAlign w:val="bottom"/>
            <w:shd w:val="clear" w:color="auto" w:fill="E5ECF1"/>
          </w:tcPr>
          <w:p>
            <w:pPr>
              <w:jc w:val="right"/>
              <w:spacing w:after="0" w:line="157" w:lineRule="exact"/>
              <w:rPr>
                <w:sz w:val="20"/>
                <w:szCs w:val="20"/>
                <w:color w:val="auto"/>
              </w:rPr>
            </w:pPr>
            <w:r>
              <w:rPr>
                <w:rFonts w:ascii="Arial" w:cs="Arial" w:eastAsia="Arial" w:hAnsi="Arial"/>
                <w:sz w:val="15"/>
                <w:szCs w:val="15"/>
                <w:color w:val="auto"/>
              </w:rPr>
              <w:t>307,642</w:t>
            </w:r>
          </w:p>
        </w:tc>
        <w:tc>
          <w:tcPr>
            <w:tcW w:w="0" w:type="dxa"/>
            <w:vAlign w:val="bottom"/>
          </w:tcPr>
          <w:p>
            <w:pPr>
              <w:spacing w:after="0"/>
              <w:rPr>
                <w:sz w:val="1"/>
                <w:szCs w:val="1"/>
                <w:color w:val="auto"/>
              </w:rPr>
            </w:pPr>
          </w:p>
        </w:tc>
      </w:tr>
      <w:tr>
        <w:trPr>
          <w:trHeight w:val="189"/>
        </w:trPr>
        <w:tc>
          <w:tcPr>
            <w:tcW w:w="5840" w:type="dxa"/>
            <w:vAlign w:val="bottom"/>
            <w:tcBorders>
              <w:bottom w:val="single" w:sz="8" w:color="002F50"/>
            </w:tcBorders>
          </w:tcPr>
          <w:p>
            <w:pPr>
              <w:ind w:left="140"/>
              <w:spacing w:after="0"/>
              <w:rPr>
                <w:sz w:val="20"/>
                <w:szCs w:val="20"/>
                <w:color w:val="auto"/>
              </w:rPr>
            </w:pPr>
            <w:r>
              <w:rPr>
                <w:rFonts w:ascii="Arial" w:cs="Arial" w:eastAsia="Arial" w:hAnsi="Arial"/>
                <w:sz w:val="15"/>
                <w:szCs w:val="15"/>
                <w:color w:val="auto"/>
              </w:rPr>
              <w:t>Compensation Committee Chairperson</w:t>
            </w:r>
          </w:p>
        </w:tc>
        <w:tc>
          <w:tcPr>
            <w:tcW w:w="2720" w:type="dxa"/>
            <w:vAlign w:val="bottom"/>
            <w:tcBorders>
              <w:bottom w:val="single" w:sz="8" w:color="002F50"/>
            </w:tcBorders>
          </w:tcPr>
          <w:p>
            <w:pPr>
              <w:spacing w:after="0"/>
              <w:rPr>
                <w:sz w:val="16"/>
                <w:szCs w:val="16"/>
                <w:color w:val="auto"/>
              </w:rPr>
            </w:pPr>
          </w:p>
        </w:tc>
        <w:tc>
          <w:tcPr>
            <w:tcW w:w="1380" w:type="dxa"/>
            <w:vAlign w:val="bottom"/>
            <w:tcBorders>
              <w:bottom w:val="single" w:sz="8" w:color="002F50"/>
            </w:tcBorders>
          </w:tcPr>
          <w:p>
            <w:pPr>
              <w:spacing w:after="0"/>
              <w:rPr>
                <w:sz w:val="16"/>
                <w:szCs w:val="16"/>
                <w:color w:val="auto"/>
              </w:rPr>
            </w:pPr>
          </w:p>
        </w:tc>
        <w:tc>
          <w:tcPr>
            <w:tcW w:w="1300" w:type="dxa"/>
            <w:vAlign w:val="bottom"/>
            <w:tcBorders>
              <w:bottom w:val="single" w:sz="8" w:color="002F50"/>
            </w:tcBorders>
            <w:shd w:val="clear" w:color="auto" w:fill="E5ECF1"/>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40" w:type="dxa"/>
            <w:vAlign w:val="bottom"/>
            <w:tcBorders>
              <w:bottom w:val="single" w:sz="8" w:color="002F50"/>
            </w:tcBorders>
          </w:tcPr>
          <w:p>
            <w:pPr>
              <w:ind w:left="60"/>
              <w:spacing w:after="0" w:line="169" w:lineRule="exact"/>
              <w:rPr>
                <w:sz w:val="20"/>
                <w:szCs w:val="20"/>
                <w:color w:val="auto"/>
              </w:rPr>
            </w:pPr>
            <w:r>
              <w:rPr>
                <w:rFonts w:ascii="Arial" w:cs="Arial" w:eastAsia="Arial" w:hAnsi="Arial"/>
                <w:sz w:val="15"/>
                <w:szCs w:val="15"/>
                <w:b w:val="1"/>
                <w:bCs w:val="1"/>
                <w:color w:val="auto"/>
              </w:rPr>
              <w:t>Tejas P. Shah</w:t>
            </w:r>
          </w:p>
        </w:tc>
        <w:tc>
          <w:tcPr>
            <w:tcW w:w="2720" w:type="dxa"/>
            <w:vAlign w:val="bottom"/>
            <w:tcBorders>
              <w:bottom w:val="single" w:sz="8" w:color="002F50"/>
            </w:tcBorders>
          </w:tcPr>
          <w:p>
            <w:pPr>
              <w:jc w:val="right"/>
              <w:ind w:right="144"/>
              <w:spacing w:after="0" w:line="169" w:lineRule="exact"/>
              <w:rPr>
                <w:sz w:val="20"/>
                <w:szCs w:val="20"/>
                <w:color w:val="auto"/>
              </w:rPr>
            </w:pPr>
            <w:r>
              <w:rPr>
                <w:rFonts w:ascii="Arial" w:cs="Arial" w:eastAsia="Arial" w:hAnsi="Arial"/>
                <w:sz w:val="15"/>
                <w:szCs w:val="15"/>
                <w:color w:val="auto"/>
              </w:rPr>
              <w:t>112,500</w:t>
            </w:r>
          </w:p>
        </w:tc>
        <w:tc>
          <w:tcPr>
            <w:tcW w:w="1380" w:type="dxa"/>
            <w:vAlign w:val="bottom"/>
            <w:tcBorders>
              <w:bottom w:val="single" w:sz="8" w:color="002F50"/>
            </w:tcBorders>
          </w:tcPr>
          <w:p>
            <w:pPr>
              <w:jc w:val="right"/>
              <w:ind w:right="84"/>
              <w:spacing w:after="0" w:line="169" w:lineRule="exact"/>
              <w:rPr>
                <w:sz w:val="20"/>
                <w:szCs w:val="20"/>
                <w:color w:val="auto"/>
              </w:rPr>
            </w:pPr>
            <w:r>
              <w:rPr>
                <w:rFonts w:ascii="Arial" w:cs="Arial" w:eastAsia="Arial" w:hAnsi="Arial"/>
                <w:sz w:val="15"/>
                <w:szCs w:val="15"/>
                <w:color w:val="auto"/>
              </w:rPr>
              <w:t>175,142</w:t>
            </w:r>
          </w:p>
        </w:tc>
        <w:tc>
          <w:tcPr>
            <w:tcW w:w="1300" w:type="dxa"/>
            <w:vAlign w:val="bottom"/>
            <w:tcBorders>
              <w:bottom w:val="single" w:sz="8" w:color="002F50"/>
            </w:tcBorders>
            <w:shd w:val="clear" w:color="auto" w:fill="E5ECF1"/>
          </w:tcPr>
          <w:p>
            <w:pPr>
              <w:jc w:val="right"/>
              <w:spacing w:after="0" w:line="169" w:lineRule="exact"/>
              <w:rPr>
                <w:sz w:val="20"/>
                <w:szCs w:val="20"/>
                <w:color w:val="auto"/>
              </w:rPr>
            </w:pPr>
            <w:r>
              <w:rPr>
                <w:rFonts w:ascii="Arial" w:cs="Arial" w:eastAsia="Arial" w:hAnsi="Arial"/>
                <w:sz w:val="15"/>
                <w:szCs w:val="15"/>
                <w:color w:val="auto"/>
              </w:rPr>
              <w:t>287,642</w:t>
            </w:r>
          </w:p>
        </w:tc>
        <w:tc>
          <w:tcPr>
            <w:tcW w:w="0" w:type="dxa"/>
            <w:vAlign w:val="bottom"/>
          </w:tcPr>
          <w:p>
            <w:pPr>
              <w:spacing w:after="0"/>
              <w:rPr>
                <w:sz w:val="1"/>
                <w:szCs w:val="1"/>
                <w:color w:val="auto"/>
              </w:rPr>
            </w:pPr>
          </w:p>
        </w:tc>
      </w:tr>
      <w:tr>
        <w:trPr>
          <w:trHeight w:val="175"/>
        </w:trPr>
        <w:tc>
          <w:tcPr>
            <w:tcW w:w="5840" w:type="dxa"/>
            <w:vAlign w:val="bottom"/>
            <w:tcBorders>
              <w:bottom w:val="single" w:sz="8" w:color="002F50"/>
            </w:tcBorders>
          </w:tcPr>
          <w:p>
            <w:pPr>
              <w:ind w:left="60"/>
              <w:spacing w:after="0" w:line="169" w:lineRule="exact"/>
              <w:rPr>
                <w:sz w:val="20"/>
                <w:szCs w:val="20"/>
                <w:color w:val="auto"/>
              </w:rPr>
            </w:pPr>
            <w:r>
              <w:rPr>
                <w:rFonts w:ascii="Arial" w:cs="Arial" w:eastAsia="Arial" w:hAnsi="Arial"/>
                <w:sz w:val="15"/>
                <w:szCs w:val="15"/>
                <w:b w:val="1"/>
                <w:bCs w:val="1"/>
                <w:color w:val="auto"/>
              </w:rPr>
              <w:t>Nassem A. Ziyad</w:t>
            </w:r>
          </w:p>
        </w:tc>
        <w:tc>
          <w:tcPr>
            <w:tcW w:w="2720" w:type="dxa"/>
            <w:vAlign w:val="bottom"/>
            <w:tcBorders>
              <w:bottom w:val="single" w:sz="8" w:color="002F50"/>
            </w:tcBorders>
          </w:tcPr>
          <w:p>
            <w:pPr>
              <w:jc w:val="right"/>
              <w:ind w:right="144"/>
              <w:spacing w:after="0" w:line="169" w:lineRule="exact"/>
              <w:rPr>
                <w:sz w:val="20"/>
                <w:szCs w:val="20"/>
                <w:color w:val="auto"/>
              </w:rPr>
            </w:pPr>
            <w:r>
              <w:rPr>
                <w:rFonts w:ascii="Arial" w:cs="Arial" w:eastAsia="Arial" w:hAnsi="Arial"/>
                <w:sz w:val="15"/>
                <w:szCs w:val="15"/>
                <w:color w:val="auto"/>
              </w:rPr>
              <w:t>112,500</w:t>
            </w:r>
          </w:p>
        </w:tc>
        <w:tc>
          <w:tcPr>
            <w:tcW w:w="1380" w:type="dxa"/>
            <w:vAlign w:val="bottom"/>
            <w:tcBorders>
              <w:bottom w:val="single" w:sz="8" w:color="002F50"/>
            </w:tcBorders>
          </w:tcPr>
          <w:p>
            <w:pPr>
              <w:jc w:val="right"/>
              <w:ind w:right="84"/>
              <w:spacing w:after="0" w:line="169" w:lineRule="exact"/>
              <w:rPr>
                <w:sz w:val="20"/>
                <w:szCs w:val="20"/>
                <w:color w:val="auto"/>
              </w:rPr>
            </w:pPr>
            <w:r>
              <w:rPr>
                <w:rFonts w:ascii="Arial" w:cs="Arial" w:eastAsia="Arial" w:hAnsi="Arial"/>
                <w:sz w:val="15"/>
                <w:szCs w:val="15"/>
                <w:color w:val="auto"/>
              </w:rPr>
              <w:t>175,142</w:t>
            </w:r>
          </w:p>
        </w:tc>
        <w:tc>
          <w:tcPr>
            <w:tcW w:w="1300" w:type="dxa"/>
            <w:vAlign w:val="bottom"/>
            <w:tcBorders>
              <w:bottom w:val="single" w:sz="8" w:color="002F50"/>
            </w:tcBorders>
            <w:shd w:val="clear" w:color="auto" w:fill="E5ECF1"/>
          </w:tcPr>
          <w:p>
            <w:pPr>
              <w:jc w:val="right"/>
              <w:spacing w:after="0" w:line="169" w:lineRule="exact"/>
              <w:rPr>
                <w:sz w:val="20"/>
                <w:szCs w:val="20"/>
                <w:color w:val="auto"/>
              </w:rPr>
            </w:pPr>
            <w:r>
              <w:rPr>
                <w:rFonts w:ascii="Arial" w:cs="Arial" w:eastAsia="Arial" w:hAnsi="Arial"/>
                <w:sz w:val="15"/>
                <w:szCs w:val="15"/>
                <w:color w:val="auto"/>
              </w:rPr>
              <w:t>287,642</w:t>
            </w:r>
          </w:p>
        </w:tc>
        <w:tc>
          <w:tcPr>
            <w:tcW w:w="0" w:type="dxa"/>
            <w:vAlign w:val="bottom"/>
          </w:tcPr>
          <w:p>
            <w:pPr>
              <w:spacing w:after="0"/>
              <w:rPr>
                <w:sz w:val="1"/>
                <w:szCs w:val="1"/>
                <w:color w:val="auto"/>
              </w:rPr>
            </w:pPr>
          </w:p>
        </w:tc>
      </w:tr>
    </w:tbl>
    <w:p>
      <w:pPr>
        <w:spacing w:after="0" w:line="56" w:lineRule="exact"/>
        <w:rPr>
          <w:sz w:val="20"/>
          <w:szCs w:val="20"/>
          <w:color w:val="auto"/>
        </w:rPr>
      </w:pPr>
    </w:p>
    <w:p>
      <w:pPr>
        <w:jc w:val="both"/>
        <w:ind w:left="260" w:hanging="259"/>
        <w:spacing w:after="0" w:line="253" w:lineRule="auto"/>
        <w:tabs>
          <w:tab w:leader="none" w:pos="2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On March 6, 2025, each non-employee member of the Board (other than Mr. Miller) was awarded RSUs having a grant date fair value equal to $175,142 on such date pursuant to the LTIP. These RSUs vested on March 6, 2026. The amounts reported in this column reflect the aggregate grant date fair value of the RSUs granted in 2025 computed in accordance with Financial Accounting Standard Board Accounting Standards Codification Topic 718 (“FASB ASC Topic 718”). The valuation assumptions used in determining these amounts are described in Note 3(o) to our consolidated financial statements included in our Annual Report on Form 10-K for the fiscal year ended January 3, 2026. As of January 3, 2026, each then-serving non-employee director held 1,108 outstanding RSUs.</w:t>
      </w:r>
    </w:p>
    <w:p>
      <w:pPr>
        <w:spacing w:after="0" w:line="19" w:lineRule="exact"/>
        <w:rPr>
          <w:rFonts w:ascii="Arial" w:cs="Arial" w:eastAsia="Arial" w:hAnsi="Arial"/>
          <w:sz w:val="13"/>
          <w:szCs w:val="13"/>
          <w:color w:val="auto"/>
        </w:rPr>
      </w:pPr>
    </w:p>
    <w:p>
      <w:pPr>
        <w:ind w:left="260" w:hanging="259"/>
        <w:spacing w:after="0"/>
        <w:tabs>
          <w:tab w:leader="none" w:pos="2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Mr. Miller retired from the Board, effective March 15, 2025.</w:t>
      </w:r>
    </w:p>
    <w:p>
      <w:pPr>
        <w:spacing w:after="0" w:line="174" w:lineRule="exact"/>
        <w:rPr>
          <w:sz w:val="20"/>
          <w:szCs w:val="20"/>
          <w:color w:val="auto"/>
        </w:rPr>
      </w:pPr>
    </w:p>
    <w:p>
      <w:pPr>
        <w:ind w:left="8960"/>
        <w:spacing w:after="0"/>
        <w:tabs>
          <w:tab w:leader="none" w:pos="1106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5"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Sustainability</w:t>
      </w:r>
    </w:p>
    <w:p>
      <w:pPr>
        <w:spacing w:after="0" w:line="187"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In October 2025, we released Middleby’s 2025 Sustainability Metrics Update, featuring further alignment and expansion of our data collection and reporting of this information to our customers, investors and other stakeholders. Middleby is uniquely positioned to develop sustainable equipment solutions that impact the many customers we touch around the world involved in restaurants and food manufacturing operations as well as cooking at home. Our financial investments and product innovation efforts are focused on solutions that reduce energy consumption, lessen water usage and food waste, minimize emissions and carbon footprint, and enhance safety. We have built these sustainability objectives into our development and innovation processes, so they are core to our culture. In our 2025 Sustainability Metrics Update, we included updated data with respect to energy, greenhouse gas (GHG) emissions, water usage and waste metrics. We look forward to expanding further the metrics we disclose in our future sustainability reporting. We intend to publish an updated Sustainability Report in 2026.</w:t>
      </w:r>
    </w:p>
    <w:p>
      <w:pPr>
        <w:spacing w:after="0" w:line="146"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For complete information, please see our most recent Sustainability Metrics Update, which is available on our website, www.middleby. com, under “About— Sustainability.”</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00304D"/>
        </w:rPr>
        <w:t>Sustainability Priorities and Management Process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Middleby’s sustainability priorities are focused on reducing environmental impact to air, water, and land across our footprint and specifically with respect to our customers; improving data analysis and benchmarking to identify opportunities for improvement; identifying and implementing cost-effective and innovative solutions to reduce energy usage; and encouraging more environmentally friendly business practices within our business units. Our management process uses consistent data collection and benchmarking to identify risks, plan management strategies, implement solutions, measure success rates, and adjust systems for continuous improvement across our environmental management activities.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Data collection and reporting were conducted in alignment with a number of different frameworks, including the framework used by the Sustainability Accounting Standards Board (SASB) in developing their standards. For purposes of reporting, we selected aspects of the environment that we have control of and can make a meaningful impact on. The four key aspects measured at our operations are Energy Consumption, Greenhouse Gas (GHG) Emissions, Water Usage and Waste Management. These aspects are considered to meet the SASB requirements: they are of interest to investors, are relevant across the industry, have a potential to affect corporate value, reflect stakeholder feedback, and are actionable by Middleby.</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00304D"/>
        </w:rPr>
        <w:t>Human Capital</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believe Middleby’s success is a direct result of the people we employ around the world. When our employees have the best environment, they can be their best. We strive to create a culture that encourages and celebrates collaboration, creativity, and confidence. Ultimately, we want a workplace that enables employees to develop their individual paths toward their career goals and encourages a long-term working relationship with us.</w:t>
      </w:r>
    </w:p>
    <w:p>
      <w:pPr>
        <w:spacing w:after="0" w:line="138"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Middleby leadership encourages internal promotion to fill all job openings by supporting organized succession planning and employee development initiatives across all of its divisions.</w:t>
      </w:r>
    </w:p>
    <w:p>
      <w:pPr>
        <w:spacing w:after="0" w:line="125"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We encourage our employees to present new ideas and empower them to move their ideas forward. We believe that giving our employees autonomy fosters an environment of inclusion and empowerment, and encourages them to recognize that they play a part in Middleby’s success.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00304D"/>
        </w:rPr>
        <w:t>Employee Safety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Middleby actively promotes a safe workplace for all of our employees around the world because a culture of safety reduces the risk of injury to employees, decreases expenses, and increases production. Each of our manufacturing locations maintains an active safety committee that frequently reviews and assesses the conditions of the local work environment. We invest in safety training, share best practices, and review claim activity to continually minimize employee workplace injuries. We understand that our ongoing efforts to promote a safe environment today will drive long-term sustained improvement to workplace safety across the Company in the future.</w:t>
      </w:r>
    </w:p>
    <w:p>
      <w:pPr>
        <w:spacing w:after="0" w:line="144"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Our Recordable Case Rate (work-related injuries per 100 full-time employees) declined from 6.30 in 2017 to 3.68 in 2024. Our Lost Time Incident Rate declined from 1.37 in 2017 to 0.04 in 2024. A number of factors contribute to these metrics and trends. Each year, the data collected includes more locations than the prior year due to acquisition activity and expansion of locations for existing Middleby divisions. Middleby uses these metrics to inform decision-making and contribute to the culture of safety companywide.</w:t>
      </w:r>
    </w:p>
    <w:p>
      <w:pPr>
        <w:spacing w:after="0" w:line="14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B52"/>
        </w:rPr>
        <w:t>HEALTH AND SAFETY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1724025</wp:posOffset>
            </wp:positionH>
            <wp:positionV relativeFrom="paragraph">
              <wp:posOffset>158750</wp:posOffset>
            </wp:positionV>
            <wp:extent cx="3686810" cy="12985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686810" cy="129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720"/>
        <w:spacing w:after="0"/>
        <w:tabs>
          <w:tab w:leader="none" w:pos="2860" w:val="left"/>
        </w:tabs>
        <w:rPr>
          <w:sz w:val="20"/>
          <w:szCs w:val="20"/>
          <w:color w:val="auto"/>
        </w:rPr>
      </w:pPr>
      <w:r>
        <w:rPr>
          <w:rFonts w:ascii="Arial" w:cs="Arial" w:eastAsia="Arial" w:hAnsi="Arial"/>
          <w:sz w:val="13"/>
          <w:szCs w:val="13"/>
          <w:i w:val="1"/>
          <w:iCs w:val="1"/>
          <w:color w:val="auto"/>
        </w:rPr>
        <w:t>*</w:t>
        <w:tab/>
        <w:t>Calculated per 100 employees at year-end.</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Community</w:t>
      </w:r>
    </w:p>
    <w:p>
      <w:pPr>
        <w:spacing w:after="0" w:line="188"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Middleby recognizes the importance of supporting our industry and the communities in which we live and work. The Middleby Cares corporate giving program invests in not-for-profit organizations addressing the following initiatives:</w:t>
      </w:r>
    </w:p>
    <w:p>
      <w:pPr>
        <w:spacing w:after="0" w:line="125" w:lineRule="exact"/>
        <w:rPr>
          <w:sz w:val="20"/>
          <w:szCs w:val="20"/>
          <w:color w:val="auto"/>
        </w:rPr>
      </w:pPr>
    </w:p>
    <w:p>
      <w:pPr>
        <w:ind w:left="180" w:hanging="179"/>
        <w:spacing w:after="0"/>
        <w:tabs>
          <w:tab w:leader="none" w:pos="180" w:val="left"/>
        </w:tabs>
        <w:numPr>
          <w:ilvl w:val="0"/>
          <w:numId w:val="25"/>
        </w:numPr>
        <w:rPr>
          <w:rFonts w:ascii="Arial" w:cs="Arial" w:eastAsia="Arial" w:hAnsi="Arial"/>
          <w:sz w:val="15"/>
          <w:szCs w:val="15"/>
          <w:color w:val="265E7C"/>
        </w:rPr>
      </w:pPr>
      <w:r>
        <w:rPr>
          <w:rFonts w:ascii="Arial" w:cs="Arial" w:eastAsia="Arial" w:hAnsi="Arial"/>
          <w:sz w:val="15"/>
          <w:szCs w:val="15"/>
          <w:color w:val="auto"/>
        </w:rPr>
        <w:t>Food Insecurity</w:t>
      </w:r>
    </w:p>
    <w:p>
      <w:pPr>
        <w:spacing w:after="0" w:line="79" w:lineRule="exact"/>
        <w:rPr>
          <w:rFonts w:ascii="Arial" w:cs="Arial" w:eastAsia="Arial" w:hAnsi="Arial"/>
          <w:sz w:val="15"/>
          <w:szCs w:val="15"/>
          <w:color w:val="265E7C"/>
        </w:rPr>
      </w:pPr>
    </w:p>
    <w:p>
      <w:pPr>
        <w:ind w:left="180" w:hanging="179"/>
        <w:spacing w:after="0"/>
        <w:tabs>
          <w:tab w:leader="none" w:pos="180" w:val="left"/>
        </w:tabs>
        <w:numPr>
          <w:ilvl w:val="0"/>
          <w:numId w:val="25"/>
        </w:numPr>
        <w:rPr>
          <w:rFonts w:ascii="Arial" w:cs="Arial" w:eastAsia="Arial" w:hAnsi="Arial"/>
          <w:sz w:val="15"/>
          <w:szCs w:val="15"/>
          <w:color w:val="265E7C"/>
        </w:rPr>
      </w:pPr>
      <w:r>
        <w:rPr>
          <w:rFonts w:ascii="Arial" w:cs="Arial" w:eastAsia="Arial" w:hAnsi="Arial"/>
          <w:sz w:val="15"/>
          <w:szCs w:val="15"/>
          <w:color w:val="auto"/>
        </w:rPr>
        <w:t>Education Initiatives</w:t>
      </w:r>
    </w:p>
    <w:p>
      <w:pPr>
        <w:spacing w:after="0" w:line="79" w:lineRule="exact"/>
        <w:rPr>
          <w:rFonts w:ascii="Arial" w:cs="Arial" w:eastAsia="Arial" w:hAnsi="Arial"/>
          <w:sz w:val="15"/>
          <w:szCs w:val="15"/>
          <w:color w:val="265E7C"/>
        </w:rPr>
      </w:pPr>
    </w:p>
    <w:p>
      <w:pPr>
        <w:ind w:left="180" w:hanging="179"/>
        <w:spacing w:after="0"/>
        <w:tabs>
          <w:tab w:leader="none" w:pos="180" w:val="left"/>
        </w:tabs>
        <w:numPr>
          <w:ilvl w:val="0"/>
          <w:numId w:val="25"/>
        </w:numPr>
        <w:rPr>
          <w:rFonts w:ascii="Arial" w:cs="Arial" w:eastAsia="Arial" w:hAnsi="Arial"/>
          <w:sz w:val="15"/>
          <w:szCs w:val="15"/>
          <w:color w:val="265E7C"/>
        </w:rPr>
      </w:pPr>
      <w:r>
        <w:rPr>
          <w:rFonts w:ascii="Arial" w:cs="Arial" w:eastAsia="Arial" w:hAnsi="Arial"/>
          <w:sz w:val="15"/>
          <w:szCs w:val="15"/>
          <w:color w:val="auto"/>
        </w:rPr>
        <w:t>Youth Programs</w:t>
      </w:r>
    </w:p>
    <w:p>
      <w:pPr>
        <w:spacing w:after="0" w:line="79" w:lineRule="exact"/>
        <w:rPr>
          <w:rFonts w:ascii="Arial" w:cs="Arial" w:eastAsia="Arial" w:hAnsi="Arial"/>
          <w:sz w:val="15"/>
          <w:szCs w:val="15"/>
          <w:color w:val="265E7C"/>
        </w:rPr>
      </w:pPr>
    </w:p>
    <w:p>
      <w:pPr>
        <w:ind w:left="180" w:hanging="179"/>
        <w:spacing w:after="0"/>
        <w:tabs>
          <w:tab w:leader="none" w:pos="180" w:val="left"/>
        </w:tabs>
        <w:numPr>
          <w:ilvl w:val="0"/>
          <w:numId w:val="25"/>
        </w:numPr>
        <w:rPr>
          <w:rFonts w:ascii="Arial" w:cs="Arial" w:eastAsia="Arial" w:hAnsi="Arial"/>
          <w:sz w:val="15"/>
          <w:szCs w:val="15"/>
          <w:color w:val="265E7C"/>
        </w:rPr>
      </w:pPr>
      <w:r>
        <w:rPr>
          <w:rFonts w:ascii="Arial" w:cs="Arial" w:eastAsia="Arial" w:hAnsi="Arial"/>
          <w:sz w:val="15"/>
          <w:szCs w:val="15"/>
          <w:color w:val="auto"/>
        </w:rPr>
        <w:t>Needs for Shelter</w:t>
      </w:r>
    </w:p>
    <w:p>
      <w:pPr>
        <w:spacing w:after="0" w:line="79" w:lineRule="exact"/>
        <w:rPr>
          <w:rFonts w:ascii="Arial" w:cs="Arial" w:eastAsia="Arial" w:hAnsi="Arial"/>
          <w:sz w:val="15"/>
          <w:szCs w:val="15"/>
          <w:color w:val="265E7C"/>
        </w:rPr>
      </w:pPr>
    </w:p>
    <w:p>
      <w:pPr>
        <w:ind w:left="180" w:hanging="179"/>
        <w:spacing w:after="0"/>
        <w:tabs>
          <w:tab w:leader="none" w:pos="180" w:val="left"/>
        </w:tabs>
        <w:numPr>
          <w:ilvl w:val="0"/>
          <w:numId w:val="25"/>
        </w:numPr>
        <w:rPr>
          <w:rFonts w:ascii="Arial" w:cs="Arial" w:eastAsia="Arial" w:hAnsi="Arial"/>
          <w:sz w:val="15"/>
          <w:szCs w:val="15"/>
          <w:color w:val="265E7C"/>
        </w:rPr>
      </w:pPr>
      <w:r>
        <w:rPr>
          <w:rFonts w:ascii="Arial" w:cs="Arial" w:eastAsia="Arial" w:hAnsi="Arial"/>
          <w:sz w:val="15"/>
          <w:szCs w:val="15"/>
          <w:color w:val="auto"/>
        </w:rPr>
        <w:t>Basic Living Necessities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cornerstone of our philanthropic efforts is the motto “we feed people.” In 2025, we supported Feeding America, as a corporate partner. Feeding America distributed Middleby directed funds to dozens of their food banks in communities where our employees live and work. Many in our domestic employee base also volunteered with these food banks, making an impact locally.</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Middleby Cares also supports Ronald McDonald House. We participated in their Global Giving Collective, as well as a formal program to upgrade foodservice at Ronald McDonald House locations by providing equipment donations. We were proud to support more than a dozen locations worldwide with in-kind equipment in 2025, to help Ronald McDonald House best serve families of ill and injured children receiving treatment at local hospitals.</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Consistent with our mission to feed people, we are a partner of World Central Kitchen both financially and through vehicle support and equipment donations. Additionally, Middleby is the national equipment partner of Café Momentum, an organization serving justice-involved youth throughout the U.S. Other organizations we proudly support include The Red Cross Disaster Relief Fund, Habitat for Humanity, Alzheimer’s Association, St. Jude, Mercy Chefs, local PADS and many more organizations that reflect our mission. We offer culinary education support to Elgin Community College, National Louis University, Dallas College Foundation and others. We also are involved in many regional organizations that meet our giving parameters and mirror our values.</w:t>
      </w:r>
    </w:p>
    <w:p>
      <w:pPr>
        <w:spacing w:after="0" w:line="144"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We encourage all global locations to be engaged in their own charitable local efforts and volunteering. We believe in community impact and support our employees serving their communities in a meaningful way. Our operating locations direct their own local philanthropic activities, reflective of the needs of their communities.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Additional information regarding the Middleby Cares corporate giving program is available at www.middleby.com/middleby-cares.</w:t>
      </w:r>
    </w:p>
    <w:p>
      <w:pPr>
        <w:spacing w:after="0" w:line="18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31" w:name="page32"/>
    <w:bookmarkEnd w:id="31"/>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0" w:lineRule="exact"/>
        <w:rPr>
          <w:sz w:val="20"/>
          <w:szCs w:val="20"/>
          <w:color w:val="auto"/>
        </w:rPr>
      </w:pPr>
    </w:p>
    <w:p>
      <w:pPr>
        <w:spacing w:after="0"/>
        <w:rPr>
          <w:sz w:val="20"/>
          <w:szCs w:val="20"/>
          <w:color w:val="auto"/>
        </w:rPr>
      </w:pPr>
      <w:r>
        <w:rPr>
          <w:rFonts w:ascii="Arial" w:cs="Arial" w:eastAsia="Arial" w:hAnsi="Arial"/>
          <w:sz w:val="34"/>
          <w:szCs w:val="34"/>
          <w:b w:val="1"/>
          <w:bCs w:val="1"/>
          <w:color w:val="00304D"/>
        </w:rPr>
        <w:t>Executive Officers</w:t>
      </w: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summary of the professional experience of the Company’s executive officers. The ages set forth below are as of March 31, 2026.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4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00304D"/>
              </w:rPr>
              <w:t>Name</w:t>
            </w:r>
          </w:p>
        </w:tc>
        <w:tc>
          <w:tcPr>
            <w:tcW w:w="600" w:type="dxa"/>
            <w:vAlign w:val="bottom"/>
            <w:tcBorders>
              <w:bottom w:val="single" w:sz="8" w:color="002F4D"/>
            </w:tcBorders>
          </w:tcPr>
          <w:p>
            <w:pPr>
              <w:jc w:val="center"/>
              <w:spacing w:after="0"/>
              <w:rPr>
                <w:sz w:val="20"/>
                <w:szCs w:val="20"/>
                <w:color w:val="auto"/>
              </w:rPr>
            </w:pPr>
            <w:r>
              <w:rPr>
                <w:rFonts w:ascii="Arial" w:cs="Arial" w:eastAsia="Arial" w:hAnsi="Arial"/>
                <w:sz w:val="15"/>
                <w:szCs w:val="15"/>
                <w:b w:val="1"/>
                <w:bCs w:val="1"/>
                <w:color w:val="00304D"/>
                <w:w w:val="98"/>
              </w:rPr>
              <w:t>Age</w:t>
            </w:r>
          </w:p>
        </w:tc>
        <w:tc>
          <w:tcPr>
            <w:tcW w:w="8800" w:type="dxa"/>
            <w:vAlign w:val="bottom"/>
            <w:tcBorders>
              <w:bottom w:val="single" w:sz="8" w:color="002F4D"/>
            </w:tcBorders>
          </w:tcPr>
          <w:p>
            <w:pPr>
              <w:ind w:left="140"/>
              <w:spacing w:after="0"/>
              <w:rPr>
                <w:sz w:val="20"/>
                <w:szCs w:val="20"/>
                <w:color w:val="auto"/>
              </w:rPr>
            </w:pPr>
            <w:r>
              <w:rPr>
                <w:rFonts w:ascii="Arial" w:cs="Arial" w:eastAsia="Arial" w:hAnsi="Arial"/>
                <w:sz w:val="15"/>
                <w:szCs w:val="15"/>
                <w:b w:val="1"/>
                <w:bCs w:val="1"/>
                <w:color w:val="00304D"/>
              </w:rPr>
              <w:t>Professional Background</w:t>
            </w:r>
          </w:p>
        </w:tc>
      </w:tr>
      <w:tr>
        <w:trPr>
          <w:trHeight w:val="169"/>
        </w:trPr>
        <w:tc>
          <w:tcPr>
            <w:tcW w:w="184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b w:val="1"/>
                <w:bCs w:val="1"/>
                <w:color w:val="auto"/>
              </w:rPr>
              <w:t>Timothy J. FitzGerald</w:t>
            </w:r>
          </w:p>
        </w:tc>
        <w:tc>
          <w:tcPr>
            <w:tcW w:w="600" w:type="dxa"/>
            <w:vAlign w:val="bottom"/>
            <w:tcBorders>
              <w:bottom w:val="single" w:sz="8" w:color="002F4D"/>
            </w:tcBorders>
          </w:tcPr>
          <w:p>
            <w:pPr>
              <w:jc w:val="center"/>
              <w:spacing w:after="0" w:line="169" w:lineRule="exact"/>
              <w:rPr>
                <w:sz w:val="20"/>
                <w:szCs w:val="20"/>
                <w:color w:val="auto"/>
              </w:rPr>
            </w:pPr>
            <w:r>
              <w:rPr>
                <w:rFonts w:ascii="Arial" w:cs="Arial" w:eastAsia="Arial" w:hAnsi="Arial"/>
                <w:sz w:val="15"/>
                <w:szCs w:val="15"/>
                <w:color w:val="auto"/>
                <w:w w:val="95"/>
              </w:rPr>
              <w:t>56</w:t>
            </w:r>
          </w:p>
        </w:tc>
        <w:tc>
          <w:tcPr>
            <w:tcW w:w="8800" w:type="dxa"/>
            <w:vAlign w:val="bottom"/>
            <w:tcBorders>
              <w:bottom w:val="single" w:sz="8" w:color="002F4D"/>
            </w:tcBorders>
          </w:tcPr>
          <w:p>
            <w:pPr>
              <w:ind w:left="140"/>
              <w:spacing w:after="0" w:line="169" w:lineRule="exact"/>
              <w:rPr>
                <w:sz w:val="20"/>
                <w:szCs w:val="20"/>
                <w:color w:val="auto"/>
              </w:rPr>
            </w:pPr>
            <w:r>
              <w:rPr>
                <w:rFonts w:ascii="Arial" w:cs="Arial" w:eastAsia="Arial" w:hAnsi="Arial"/>
                <w:sz w:val="15"/>
                <w:szCs w:val="15"/>
                <w:color w:val="auto"/>
              </w:rPr>
              <w:t>Mr. FitzGerald’s professional biography appears above under Election of Directors.</w:t>
            </w:r>
          </w:p>
        </w:tc>
      </w:tr>
      <w:tr>
        <w:trPr>
          <w:trHeight w:val="169"/>
        </w:trPr>
        <w:tc>
          <w:tcPr>
            <w:tcW w:w="1840" w:type="dxa"/>
            <w:vAlign w:val="bottom"/>
          </w:tcPr>
          <w:p>
            <w:pPr>
              <w:ind w:left="60"/>
              <w:spacing w:after="0" w:line="170" w:lineRule="exact"/>
              <w:rPr>
                <w:sz w:val="20"/>
                <w:szCs w:val="20"/>
                <w:color w:val="auto"/>
              </w:rPr>
            </w:pPr>
            <w:r>
              <w:rPr>
                <w:rFonts w:ascii="Arial" w:cs="Arial" w:eastAsia="Arial" w:hAnsi="Arial"/>
                <w:sz w:val="12"/>
                <w:szCs w:val="12"/>
                <w:b w:val="1"/>
                <w:bCs w:val="1"/>
                <w:color w:val="auto"/>
              </w:rPr>
              <w:t>Bryan E. Mittelman</w:t>
            </w:r>
            <w:r>
              <w:rPr>
                <w:rFonts w:ascii="Arial" w:cs="Arial" w:eastAsia="Arial" w:hAnsi="Arial"/>
                <w:sz w:val="19"/>
                <w:szCs w:val="19"/>
                <w:b w:val="1"/>
                <w:bCs w:val="1"/>
                <w:color w:val="auto"/>
                <w:vertAlign w:val="superscript"/>
              </w:rPr>
              <w:t>(1)</w:t>
            </w:r>
          </w:p>
        </w:tc>
        <w:tc>
          <w:tcPr>
            <w:tcW w:w="600" w:type="dxa"/>
            <w:vAlign w:val="bottom"/>
          </w:tcPr>
          <w:p>
            <w:pPr>
              <w:jc w:val="center"/>
              <w:spacing w:after="0" w:line="169" w:lineRule="exact"/>
              <w:rPr>
                <w:sz w:val="20"/>
                <w:szCs w:val="20"/>
                <w:color w:val="auto"/>
              </w:rPr>
            </w:pPr>
            <w:r>
              <w:rPr>
                <w:rFonts w:ascii="Arial" w:cs="Arial" w:eastAsia="Arial" w:hAnsi="Arial"/>
                <w:sz w:val="15"/>
                <w:szCs w:val="15"/>
                <w:color w:val="auto"/>
                <w:w w:val="95"/>
              </w:rPr>
              <w:t>55</w:t>
            </w:r>
          </w:p>
        </w:tc>
        <w:tc>
          <w:tcPr>
            <w:tcW w:w="8800" w:type="dxa"/>
            <w:vAlign w:val="bottom"/>
          </w:tcPr>
          <w:p>
            <w:pPr>
              <w:ind w:left="140"/>
              <w:spacing w:after="0" w:line="169" w:lineRule="exact"/>
              <w:rPr>
                <w:sz w:val="20"/>
                <w:szCs w:val="20"/>
                <w:color w:val="auto"/>
              </w:rPr>
            </w:pPr>
            <w:r>
              <w:rPr>
                <w:rFonts w:ascii="Arial" w:cs="Arial" w:eastAsia="Arial" w:hAnsi="Arial"/>
                <w:sz w:val="15"/>
                <w:szCs w:val="15"/>
                <w:color w:val="auto"/>
              </w:rPr>
              <w:t>Chief Financial Officer of the Company from February 2019 to March 2026, and Chief Accounting Officer from July 2018 to</w:t>
            </w:r>
          </w:p>
        </w:tc>
      </w:tr>
      <w:tr>
        <w:trPr>
          <w:trHeight w:val="164"/>
        </w:trPr>
        <w:tc>
          <w:tcPr>
            <w:tcW w:w="1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0" w:type="dxa"/>
            <w:vAlign w:val="bottom"/>
          </w:tcPr>
          <w:p>
            <w:pPr>
              <w:ind w:left="140"/>
              <w:spacing w:after="0" w:line="164" w:lineRule="exact"/>
              <w:rPr>
                <w:sz w:val="20"/>
                <w:szCs w:val="20"/>
                <w:color w:val="auto"/>
              </w:rPr>
            </w:pPr>
            <w:r>
              <w:rPr>
                <w:rFonts w:ascii="Arial" w:cs="Arial" w:eastAsia="Arial" w:hAnsi="Arial"/>
                <w:sz w:val="15"/>
                <w:szCs w:val="15"/>
                <w:color w:val="auto"/>
              </w:rPr>
              <w:t>February 2019. Vice President, Controller at Knowles Corporation from December 2013 to July 2018. Corporate Controller at</w:t>
            </w:r>
          </w:p>
        </w:tc>
      </w:tr>
      <w:tr>
        <w:trPr>
          <w:trHeight w:val="189"/>
        </w:trPr>
        <w:tc>
          <w:tcPr>
            <w:tcW w:w="1840" w:type="dxa"/>
            <w:vAlign w:val="bottom"/>
            <w:tcBorders>
              <w:bottom w:val="single" w:sz="8" w:color="002F4D"/>
            </w:tcBorders>
          </w:tcPr>
          <w:p>
            <w:pPr>
              <w:spacing w:after="0"/>
              <w:rPr>
                <w:sz w:val="16"/>
                <w:szCs w:val="16"/>
                <w:color w:val="auto"/>
              </w:rPr>
            </w:pPr>
          </w:p>
        </w:tc>
        <w:tc>
          <w:tcPr>
            <w:tcW w:w="600" w:type="dxa"/>
            <w:vAlign w:val="bottom"/>
            <w:tcBorders>
              <w:bottom w:val="single" w:sz="8" w:color="002F4D"/>
            </w:tcBorders>
          </w:tcPr>
          <w:p>
            <w:pPr>
              <w:spacing w:after="0"/>
              <w:rPr>
                <w:sz w:val="16"/>
                <w:szCs w:val="16"/>
                <w:color w:val="auto"/>
              </w:rPr>
            </w:pPr>
          </w:p>
        </w:tc>
        <w:tc>
          <w:tcPr>
            <w:tcW w:w="8800" w:type="dxa"/>
            <w:vAlign w:val="bottom"/>
            <w:tcBorders>
              <w:bottom w:val="single" w:sz="8" w:color="002F4D"/>
            </w:tcBorders>
          </w:tcPr>
          <w:p>
            <w:pPr>
              <w:ind w:left="140"/>
              <w:spacing w:after="0"/>
              <w:rPr>
                <w:sz w:val="20"/>
                <w:szCs w:val="20"/>
                <w:color w:val="auto"/>
              </w:rPr>
            </w:pPr>
            <w:r>
              <w:rPr>
                <w:rFonts w:ascii="Arial" w:cs="Arial" w:eastAsia="Arial" w:hAnsi="Arial"/>
                <w:sz w:val="15"/>
                <w:szCs w:val="15"/>
                <w:color w:val="auto"/>
              </w:rPr>
              <w:t>Morningstar, Inc. from December 2011 to September 2013.</w:t>
            </w:r>
          </w:p>
        </w:tc>
      </w:tr>
      <w:tr>
        <w:trPr>
          <w:trHeight w:val="169"/>
        </w:trPr>
        <w:tc>
          <w:tcPr>
            <w:tcW w:w="1840" w:type="dxa"/>
            <w:vAlign w:val="bottom"/>
          </w:tcPr>
          <w:p>
            <w:pPr>
              <w:ind w:left="60"/>
              <w:spacing w:after="0" w:line="170" w:lineRule="exact"/>
              <w:rPr>
                <w:sz w:val="20"/>
                <w:szCs w:val="20"/>
                <w:color w:val="auto"/>
              </w:rPr>
            </w:pPr>
            <w:r>
              <w:rPr>
                <w:rFonts w:ascii="Arial" w:cs="Arial" w:eastAsia="Arial" w:hAnsi="Arial"/>
                <w:sz w:val="12"/>
                <w:szCs w:val="12"/>
                <w:b w:val="1"/>
                <w:bCs w:val="1"/>
                <w:color w:val="auto"/>
              </w:rPr>
              <w:t>Brittany C. Cerwin</w:t>
            </w:r>
            <w:r>
              <w:rPr>
                <w:rFonts w:ascii="Arial" w:cs="Arial" w:eastAsia="Arial" w:hAnsi="Arial"/>
                <w:sz w:val="19"/>
                <w:szCs w:val="19"/>
                <w:b w:val="1"/>
                <w:bCs w:val="1"/>
                <w:color w:val="auto"/>
                <w:vertAlign w:val="superscript"/>
              </w:rPr>
              <w:t>(2)</w:t>
            </w:r>
          </w:p>
        </w:tc>
        <w:tc>
          <w:tcPr>
            <w:tcW w:w="600" w:type="dxa"/>
            <w:vAlign w:val="bottom"/>
          </w:tcPr>
          <w:p>
            <w:pPr>
              <w:jc w:val="center"/>
              <w:spacing w:after="0" w:line="169" w:lineRule="exact"/>
              <w:rPr>
                <w:sz w:val="20"/>
                <w:szCs w:val="20"/>
                <w:color w:val="auto"/>
              </w:rPr>
            </w:pPr>
            <w:r>
              <w:rPr>
                <w:rFonts w:ascii="Arial" w:cs="Arial" w:eastAsia="Arial" w:hAnsi="Arial"/>
                <w:sz w:val="15"/>
                <w:szCs w:val="15"/>
                <w:color w:val="auto"/>
                <w:w w:val="95"/>
              </w:rPr>
              <w:t>42</w:t>
            </w:r>
          </w:p>
        </w:tc>
        <w:tc>
          <w:tcPr>
            <w:tcW w:w="8800" w:type="dxa"/>
            <w:vAlign w:val="bottom"/>
          </w:tcPr>
          <w:p>
            <w:pPr>
              <w:ind w:left="140"/>
              <w:spacing w:after="0" w:line="169" w:lineRule="exact"/>
              <w:rPr>
                <w:sz w:val="20"/>
                <w:szCs w:val="20"/>
                <w:color w:val="auto"/>
              </w:rPr>
            </w:pPr>
            <w:r>
              <w:rPr>
                <w:rFonts w:ascii="Arial" w:cs="Arial" w:eastAsia="Arial" w:hAnsi="Arial"/>
                <w:sz w:val="15"/>
                <w:szCs w:val="15"/>
                <w:color w:val="auto"/>
              </w:rPr>
              <w:t>Chief Financial Officer of the Company since March 2026, and Chief Accounting Officer from May 2023 to March 2026,</w:t>
            </w:r>
          </w:p>
        </w:tc>
      </w:tr>
      <w:tr>
        <w:trPr>
          <w:trHeight w:val="164"/>
        </w:trPr>
        <w:tc>
          <w:tcPr>
            <w:tcW w:w="1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0" w:type="dxa"/>
            <w:vAlign w:val="bottom"/>
          </w:tcPr>
          <w:p>
            <w:pPr>
              <w:ind w:left="140"/>
              <w:spacing w:after="0" w:line="164" w:lineRule="exact"/>
              <w:rPr>
                <w:sz w:val="20"/>
                <w:szCs w:val="20"/>
                <w:color w:val="auto"/>
              </w:rPr>
            </w:pPr>
            <w:r>
              <w:rPr>
                <w:rFonts w:ascii="Arial" w:cs="Arial" w:eastAsia="Arial" w:hAnsi="Arial"/>
                <w:sz w:val="15"/>
                <w:szCs w:val="15"/>
                <w:color w:val="auto"/>
              </w:rPr>
              <w:t>Corporate Controller from 2018 to 2023. Director of Financial Reporting from 2017 to 2018. Manager of Financial Reporting from</w:t>
            </w:r>
          </w:p>
        </w:tc>
      </w:tr>
      <w:tr>
        <w:trPr>
          <w:trHeight w:val="189"/>
        </w:trPr>
        <w:tc>
          <w:tcPr>
            <w:tcW w:w="1840" w:type="dxa"/>
            <w:vAlign w:val="bottom"/>
            <w:tcBorders>
              <w:bottom w:val="single" w:sz="8" w:color="002F4D"/>
            </w:tcBorders>
          </w:tcPr>
          <w:p>
            <w:pPr>
              <w:spacing w:after="0"/>
              <w:rPr>
                <w:sz w:val="16"/>
                <w:szCs w:val="16"/>
                <w:color w:val="auto"/>
              </w:rPr>
            </w:pPr>
          </w:p>
        </w:tc>
        <w:tc>
          <w:tcPr>
            <w:tcW w:w="600" w:type="dxa"/>
            <w:vAlign w:val="bottom"/>
            <w:tcBorders>
              <w:bottom w:val="single" w:sz="8" w:color="002F4D"/>
            </w:tcBorders>
          </w:tcPr>
          <w:p>
            <w:pPr>
              <w:spacing w:after="0"/>
              <w:rPr>
                <w:sz w:val="16"/>
                <w:szCs w:val="16"/>
                <w:color w:val="auto"/>
              </w:rPr>
            </w:pPr>
          </w:p>
        </w:tc>
        <w:tc>
          <w:tcPr>
            <w:tcW w:w="8800" w:type="dxa"/>
            <w:vAlign w:val="bottom"/>
            <w:tcBorders>
              <w:bottom w:val="single" w:sz="8" w:color="002F4D"/>
            </w:tcBorders>
          </w:tcPr>
          <w:p>
            <w:pPr>
              <w:ind w:left="140"/>
              <w:spacing w:after="0"/>
              <w:rPr>
                <w:sz w:val="20"/>
                <w:szCs w:val="20"/>
                <w:color w:val="auto"/>
              </w:rPr>
            </w:pPr>
            <w:r>
              <w:rPr>
                <w:rFonts w:ascii="Arial" w:cs="Arial" w:eastAsia="Arial" w:hAnsi="Arial"/>
                <w:sz w:val="15"/>
                <w:szCs w:val="15"/>
                <w:color w:val="auto"/>
              </w:rPr>
              <w:t>2012 to 2017. Senior Financial Analyst from 2011 to 2012. Auditor at Grant Thornton from 2006 to 2011.</w:t>
            </w:r>
          </w:p>
        </w:tc>
      </w:tr>
      <w:tr>
        <w:trPr>
          <w:trHeight w:val="157"/>
        </w:trPr>
        <w:tc>
          <w:tcPr>
            <w:tcW w:w="1840" w:type="dxa"/>
            <w:vAlign w:val="bottom"/>
          </w:tcPr>
          <w:p>
            <w:pPr>
              <w:ind w:left="60"/>
              <w:spacing w:after="0" w:line="157" w:lineRule="exact"/>
              <w:rPr>
                <w:sz w:val="20"/>
                <w:szCs w:val="20"/>
                <w:color w:val="auto"/>
              </w:rPr>
            </w:pPr>
            <w:r>
              <w:rPr>
                <w:rFonts w:ascii="Arial" w:cs="Arial" w:eastAsia="Arial" w:hAnsi="Arial"/>
                <w:sz w:val="15"/>
                <w:szCs w:val="15"/>
                <w:b w:val="1"/>
                <w:bCs w:val="1"/>
                <w:color w:val="auto"/>
              </w:rPr>
              <w:t>James K. Pool III</w:t>
            </w:r>
          </w:p>
        </w:tc>
        <w:tc>
          <w:tcPr>
            <w:tcW w:w="600" w:type="dxa"/>
            <w:vAlign w:val="bottom"/>
          </w:tcPr>
          <w:p>
            <w:pPr>
              <w:jc w:val="center"/>
              <w:spacing w:after="0" w:line="157" w:lineRule="exact"/>
              <w:rPr>
                <w:sz w:val="20"/>
                <w:szCs w:val="20"/>
                <w:color w:val="auto"/>
              </w:rPr>
            </w:pPr>
            <w:r>
              <w:rPr>
                <w:rFonts w:ascii="Arial" w:cs="Arial" w:eastAsia="Arial" w:hAnsi="Arial"/>
                <w:sz w:val="15"/>
                <w:szCs w:val="15"/>
                <w:color w:val="auto"/>
                <w:w w:val="95"/>
              </w:rPr>
              <w:t>54</w:t>
            </w:r>
          </w:p>
        </w:tc>
        <w:tc>
          <w:tcPr>
            <w:tcW w:w="8800" w:type="dxa"/>
            <w:vAlign w:val="bottom"/>
          </w:tcPr>
          <w:p>
            <w:pPr>
              <w:ind w:left="140"/>
              <w:spacing w:after="0" w:line="157" w:lineRule="exact"/>
              <w:rPr>
                <w:sz w:val="20"/>
                <w:szCs w:val="20"/>
                <w:color w:val="auto"/>
              </w:rPr>
            </w:pPr>
            <w:r>
              <w:rPr>
                <w:rFonts w:ascii="Arial" w:cs="Arial" w:eastAsia="Arial" w:hAnsi="Arial"/>
                <w:sz w:val="15"/>
                <w:szCs w:val="15"/>
                <w:color w:val="auto"/>
              </w:rPr>
              <w:t>Chief Technology and Operations Officer of the Company since February 2021. Company Group President and President of</w:t>
            </w:r>
          </w:p>
        </w:tc>
      </w:tr>
      <w:tr>
        <w:trPr>
          <w:trHeight w:val="189"/>
        </w:trPr>
        <w:tc>
          <w:tcPr>
            <w:tcW w:w="1840" w:type="dxa"/>
            <w:vAlign w:val="bottom"/>
            <w:tcBorders>
              <w:bottom w:val="single" w:sz="8" w:color="002F4D"/>
            </w:tcBorders>
          </w:tcPr>
          <w:p>
            <w:pPr>
              <w:spacing w:after="0"/>
              <w:rPr>
                <w:sz w:val="16"/>
                <w:szCs w:val="16"/>
                <w:color w:val="auto"/>
              </w:rPr>
            </w:pPr>
          </w:p>
        </w:tc>
        <w:tc>
          <w:tcPr>
            <w:tcW w:w="600" w:type="dxa"/>
            <w:vAlign w:val="bottom"/>
            <w:tcBorders>
              <w:bottom w:val="single" w:sz="8" w:color="002F4D"/>
            </w:tcBorders>
          </w:tcPr>
          <w:p>
            <w:pPr>
              <w:spacing w:after="0"/>
              <w:rPr>
                <w:sz w:val="16"/>
                <w:szCs w:val="16"/>
                <w:color w:val="auto"/>
              </w:rPr>
            </w:pPr>
          </w:p>
        </w:tc>
        <w:tc>
          <w:tcPr>
            <w:tcW w:w="8800" w:type="dxa"/>
            <w:vAlign w:val="bottom"/>
            <w:tcBorders>
              <w:bottom w:val="single" w:sz="8" w:color="002F4D"/>
            </w:tcBorders>
          </w:tcPr>
          <w:p>
            <w:pPr>
              <w:ind w:left="140"/>
              <w:spacing w:after="0"/>
              <w:rPr>
                <w:sz w:val="20"/>
                <w:szCs w:val="20"/>
                <w:color w:val="auto"/>
              </w:rPr>
            </w:pPr>
            <w:r>
              <w:rPr>
                <w:rFonts w:ascii="Arial" w:cs="Arial" w:eastAsia="Arial" w:hAnsi="Arial"/>
                <w:sz w:val="15"/>
                <w:szCs w:val="15"/>
                <w:color w:val="auto"/>
              </w:rPr>
              <w:t>TurboChef Technologies, LLC from 2011 to February 2021.</w:t>
            </w:r>
          </w:p>
        </w:tc>
      </w:tr>
      <w:tr>
        <w:trPr>
          <w:trHeight w:val="157"/>
        </w:trPr>
        <w:tc>
          <w:tcPr>
            <w:tcW w:w="1840" w:type="dxa"/>
            <w:vAlign w:val="bottom"/>
          </w:tcPr>
          <w:p>
            <w:pPr>
              <w:ind w:left="60"/>
              <w:spacing w:after="0" w:line="157" w:lineRule="exact"/>
              <w:rPr>
                <w:sz w:val="20"/>
                <w:szCs w:val="20"/>
                <w:color w:val="auto"/>
              </w:rPr>
            </w:pPr>
            <w:r>
              <w:rPr>
                <w:rFonts w:ascii="Arial" w:cs="Arial" w:eastAsia="Arial" w:hAnsi="Arial"/>
                <w:sz w:val="15"/>
                <w:szCs w:val="15"/>
                <w:b w:val="1"/>
                <w:bCs w:val="1"/>
                <w:color w:val="auto"/>
              </w:rPr>
              <w:t>Steven P. Spittle</w:t>
            </w:r>
          </w:p>
        </w:tc>
        <w:tc>
          <w:tcPr>
            <w:tcW w:w="600" w:type="dxa"/>
            <w:vAlign w:val="bottom"/>
          </w:tcPr>
          <w:p>
            <w:pPr>
              <w:jc w:val="center"/>
              <w:spacing w:after="0" w:line="157" w:lineRule="exact"/>
              <w:rPr>
                <w:sz w:val="20"/>
                <w:szCs w:val="20"/>
                <w:color w:val="auto"/>
              </w:rPr>
            </w:pPr>
            <w:r>
              <w:rPr>
                <w:rFonts w:ascii="Arial" w:cs="Arial" w:eastAsia="Arial" w:hAnsi="Arial"/>
                <w:sz w:val="15"/>
                <w:szCs w:val="15"/>
                <w:color w:val="auto"/>
                <w:w w:val="95"/>
              </w:rPr>
              <w:t>45</w:t>
            </w:r>
          </w:p>
        </w:tc>
        <w:tc>
          <w:tcPr>
            <w:tcW w:w="8800" w:type="dxa"/>
            <w:vAlign w:val="bottom"/>
          </w:tcPr>
          <w:p>
            <w:pPr>
              <w:ind w:left="140"/>
              <w:spacing w:after="0" w:line="157" w:lineRule="exact"/>
              <w:rPr>
                <w:sz w:val="20"/>
                <w:szCs w:val="20"/>
                <w:color w:val="auto"/>
              </w:rPr>
            </w:pPr>
            <w:r>
              <w:rPr>
                <w:rFonts w:ascii="Arial" w:cs="Arial" w:eastAsia="Arial" w:hAnsi="Arial"/>
                <w:sz w:val="15"/>
                <w:szCs w:val="15"/>
                <w:color w:val="auto"/>
              </w:rPr>
              <w:t>Chief Commercial Officer of the Company since February 2021. Group President of Pitco Frialator and G.S. Blodgett from March</w:t>
            </w:r>
          </w:p>
        </w:tc>
      </w:tr>
      <w:tr>
        <w:trPr>
          <w:trHeight w:val="189"/>
        </w:trPr>
        <w:tc>
          <w:tcPr>
            <w:tcW w:w="1840" w:type="dxa"/>
            <w:vAlign w:val="bottom"/>
            <w:tcBorders>
              <w:bottom w:val="single" w:sz="8" w:color="002F4D"/>
            </w:tcBorders>
          </w:tcPr>
          <w:p>
            <w:pPr>
              <w:spacing w:after="0"/>
              <w:rPr>
                <w:sz w:val="16"/>
                <w:szCs w:val="16"/>
                <w:color w:val="auto"/>
              </w:rPr>
            </w:pPr>
          </w:p>
        </w:tc>
        <w:tc>
          <w:tcPr>
            <w:tcW w:w="600" w:type="dxa"/>
            <w:vAlign w:val="bottom"/>
            <w:tcBorders>
              <w:bottom w:val="single" w:sz="8" w:color="002F4D"/>
            </w:tcBorders>
          </w:tcPr>
          <w:p>
            <w:pPr>
              <w:spacing w:after="0"/>
              <w:rPr>
                <w:sz w:val="16"/>
                <w:szCs w:val="16"/>
                <w:color w:val="auto"/>
              </w:rPr>
            </w:pPr>
          </w:p>
        </w:tc>
        <w:tc>
          <w:tcPr>
            <w:tcW w:w="8800" w:type="dxa"/>
            <w:vAlign w:val="bottom"/>
            <w:tcBorders>
              <w:bottom w:val="single" w:sz="8" w:color="002F4D"/>
            </w:tcBorders>
          </w:tcPr>
          <w:p>
            <w:pPr>
              <w:ind w:left="140"/>
              <w:spacing w:after="0"/>
              <w:rPr>
                <w:sz w:val="20"/>
                <w:szCs w:val="20"/>
                <w:color w:val="auto"/>
              </w:rPr>
            </w:pPr>
            <w:r>
              <w:rPr>
                <w:rFonts w:ascii="Arial" w:cs="Arial" w:eastAsia="Arial" w:hAnsi="Arial"/>
                <w:sz w:val="15"/>
                <w:szCs w:val="15"/>
                <w:color w:val="auto"/>
              </w:rPr>
              <w:t>2017 to February 2021. President of Pitco Frialator from April 2015 to May 2017.</w:t>
            </w:r>
          </w:p>
        </w:tc>
      </w:tr>
      <w:tr>
        <w:trPr>
          <w:trHeight w:val="169"/>
        </w:trPr>
        <w:tc>
          <w:tcPr>
            <w:tcW w:w="1840" w:type="dxa"/>
            <w:vAlign w:val="bottom"/>
          </w:tcPr>
          <w:p>
            <w:pPr>
              <w:ind w:left="60"/>
              <w:spacing w:after="0" w:line="170" w:lineRule="exact"/>
              <w:rPr>
                <w:sz w:val="20"/>
                <w:szCs w:val="20"/>
                <w:color w:val="auto"/>
              </w:rPr>
            </w:pPr>
            <w:r>
              <w:rPr>
                <w:rFonts w:ascii="Arial" w:cs="Arial" w:eastAsia="Arial" w:hAnsi="Arial"/>
                <w:sz w:val="12"/>
                <w:szCs w:val="12"/>
                <w:b w:val="1"/>
                <w:bCs w:val="1"/>
                <w:color w:val="auto"/>
              </w:rPr>
              <w:t>Matthew R. Fuchsen</w:t>
            </w:r>
            <w:r>
              <w:rPr>
                <w:rFonts w:ascii="Arial" w:cs="Arial" w:eastAsia="Arial" w:hAnsi="Arial"/>
                <w:sz w:val="19"/>
                <w:szCs w:val="19"/>
                <w:b w:val="1"/>
                <w:bCs w:val="1"/>
                <w:color w:val="auto"/>
                <w:vertAlign w:val="superscript"/>
              </w:rPr>
              <w:t>(3)</w:t>
            </w:r>
          </w:p>
        </w:tc>
        <w:tc>
          <w:tcPr>
            <w:tcW w:w="600" w:type="dxa"/>
            <w:vAlign w:val="bottom"/>
          </w:tcPr>
          <w:p>
            <w:pPr>
              <w:jc w:val="center"/>
              <w:spacing w:after="0" w:line="169" w:lineRule="exact"/>
              <w:rPr>
                <w:sz w:val="20"/>
                <w:szCs w:val="20"/>
                <w:color w:val="auto"/>
              </w:rPr>
            </w:pPr>
            <w:r>
              <w:rPr>
                <w:rFonts w:ascii="Arial" w:cs="Arial" w:eastAsia="Arial" w:hAnsi="Arial"/>
                <w:sz w:val="15"/>
                <w:szCs w:val="15"/>
                <w:color w:val="auto"/>
                <w:w w:val="95"/>
              </w:rPr>
              <w:t>55</w:t>
            </w:r>
          </w:p>
        </w:tc>
        <w:tc>
          <w:tcPr>
            <w:tcW w:w="8800" w:type="dxa"/>
            <w:vAlign w:val="bottom"/>
          </w:tcPr>
          <w:p>
            <w:pPr>
              <w:ind w:left="140"/>
              <w:spacing w:after="0" w:line="169" w:lineRule="exact"/>
              <w:rPr>
                <w:sz w:val="20"/>
                <w:szCs w:val="20"/>
                <w:color w:val="auto"/>
              </w:rPr>
            </w:pPr>
            <w:r>
              <w:rPr>
                <w:rFonts w:ascii="Arial" w:cs="Arial" w:eastAsia="Arial" w:hAnsi="Arial"/>
                <w:sz w:val="15"/>
                <w:szCs w:val="15"/>
                <w:color w:val="auto"/>
              </w:rPr>
              <w:t>Chief Development Officer of the Company since May 2023. Vice President, Mergers, Acquisitions and Tax from February 2018</w:t>
            </w:r>
          </w:p>
        </w:tc>
      </w:tr>
      <w:tr>
        <w:trPr>
          <w:trHeight w:val="164"/>
        </w:trPr>
        <w:tc>
          <w:tcPr>
            <w:tcW w:w="1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0" w:type="dxa"/>
            <w:vAlign w:val="bottom"/>
          </w:tcPr>
          <w:p>
            <w:pPr>
              <w:ind w:left="140"/>
              <w:spacing w:after="0" w:line="164" w:lineRule="exact"/>
              <w:rPr>
                <w:sz w:val="20"/>
                <w:szCs w:val="20"/>
                <w:color w:val="auto"/>
              </w:rPr>
            </w:pPr>
            <w:r>
              <w:rPr>
                <w:rFonts w:ascii="Arial" w:cs="Arial" w:eastAsia="Arial" w:hAnsi="Arial"/>
                <w:sz w:val="15"/>
                <w:szCs w:val="15"/>
                <w:color w:val="auto"/>
              </w:rPr>
              <w:t>to May 2023. Vice President of Tax from March 2014 to February 2018. Senior Tax Manager from November 2011 to March</w:t>
            </w:r>
          </w:p>
        </w:tc>
      </w:tr>
      <w:tr>
        <w:trPr>
          <w:trHeight w:val="194"/>
        </w:trPr>
        <w:tc>
          <w:tcPr>
            <w:tcW w:w="1840" w:type="dxa"/>
            <w:vAlign w:val="bottom"/>
            <w:tcBorders>
              <w:bottom w:val="single" w:sz="8" w:color="002F4D"/>
            </w:tcBorders>
          </w:tcPr>
          <w:p>
            <w:pPr>
              <w:spacing w:after="0"/>
              <w:rPr>
                <w:sz w:val="16"/>
                <w:szCs w:val="16"/>
                <w:color w:val="auto"/>
              </w:rPr>
            </w:pPr>
          </w:p>
        </w:tc>
        <w:tc>
          <w:tcPr>
            <w:tcW w:w="600" w:type="dxa"/>
            <w:vAlign w:val="bottom"/>
            <w:tcBorders>
              <w:bottom w:val="single" w:sz="8" w:color="002F4D"/>
            </w:tcBorders>
          </w:tcPr>
          <w:p>
            <w:pPr>
              <w:spacing w:after="0"/>
              <w:rPr>
                <w:sz w:val="16"/>
                <w:szCs w:val="16"/>
                <w:color w:val="auto"/>
              </w:rPr>
            </w:pPr>
          </w:p>
        </w:tc>
        <w:tc>
          <w:tcPr>
            <w:tcW w:w="8800" w:type="dxa"/>
            <w:vAlign w:val="bottom"/>
            <w:tcBorders>
              <w:bottom w:val="single" w:sz="8" w:color="002F4D"/>
            </w:tcBorders>
          </w:tcPr>
          <w:p>
            <w:pPr>
              <w:ind w:left="140"/>
              <w:spacing w:after="0"/>
              <w:rPr>
                <w:sz w:val="20"/>
                <w:szCs w:val="20"/>
                <w:color w:val="auto"/>
              </w:rPr>
            </w:pPr>
            <w:r>
              <w:rPr>
                <w:rFonts w:ascii="Arial" w:cs="Arial" w:eastAsia="Arial" w:hAnsi="Arial"/>
                <w:sz w:val="15"/>
                <w:szCs w:val="15"/>
                <w:color w:val="auto"/>
              </w:rPr>
              <w:t>2014.</w:t>
            </w:r>
          </w:p>
        </w:tc>
      </w:tr>
    </w:tbl>
    <w:p>
      <w:pPr>
        <w:spacing w:after="0" w:line="56" w:lineRule="exact"/>
        <w:rPr>
          <w:sz w:val="20"/>
          <w:szCs w:val="20"/>
          <w:color w:val="auto"/>
        </w:rPr>
      </w:pPr>
    </w:p>
    <w:p>
      <w:pPr>
        <w:ind w:left="300" w:hanging="299"/>
        <w:spacing w:after="0" w:line="262" w:lineRule="auto"/>
        <w:tabs>
          <w:tab w:leader="none" w:pos="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Effective March 24, 2026, Mr. Mittelman transitioned from his position as Chief Financial Officer of the Company to a non-officer position as a Special Advisor to the Chief Executive Officer.</w:t>
      </w:r>
    </w:p>
    <w:p>
      <w:pPr>
        <w:spacing w:after="0" w:line="190" w:lineRule="exact"/>
        <w:rPr>
          <w:rFonts w:ascii="Arial" w:cs="Arial" w:eastAsia="Arial" w:hAnsi="Arial"/>
          <w:sz w:val="13"/>
          <w:szCs w:val="13"/>
          <w:color w:val="auto"/>
        </w:rPr>
      </w:pPr>
    </w:p>
    <w:p>
      <w:pPr>
        <w:ind w:left="300" w:hanging="299"/>
        <w:spacing w:after="0"/>
        <w:tabs>
          <w:tab w:leader="none" w:pos="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Effective March 24, 2026, Ms. Cerwin was appointed as Chief Financial Officer of the Company.</w:t>
      </w:r>
    </w:p>
    <w:p>
      <w:pPr>
        <w:spacing w:after="0" w:line="52" w:lineRule="exact"/>
        <w:rPr>
          <w:rFonts w:ascii="Arial" w:cs="Arial" w:eastAsia="Arial" w:hAnsi="Arial"/>
          <w:sz w:val="13"/>
          <w:szCs w:val="13"/>
          <w:color w:val="auto"/>
        </w:rPr>
      </w:pPr>
    </w:p>
    <w:p>
      <w:pPr>
        <w:ind w:left="300" w:hanging="299"/>
        <w:spacing w:after="0" w:line="285" w:lineRule="auto"/>
        <w:tabs>
          <w:tab w:leader="none" w:pos="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Mr. Fuchsen has been announced as the Chief Strategy Officer of the Middleby Food Processing business, effective upon completion of the spin-off of the Middleby Food Processing business as a stand-alone public company.</w:t>
      </w:r>
    </w:p>
    <w:p>
      <w:pPr>
        <w:spacing w:after="0" w:line="120" w:lineRule="exact"/>
        <w:rPr>
          <w:sz w:val="20"/>
          <w:szCs w:val="20"/>
          <w:color w:val="auto"/>
        </w:rPr>
      </w:pPr>
    </w:p>
    <w:p>
      <w:pPr>
        <w:ind w:left="8960"/>
        <w:spacing w:after="0"/>
        <w:tabs>
          <w:tab w:leader="none" w:pos="1106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32" w:name="page33"/>
    <w:bookmarkEnd w:id="32"/>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4" w:lineRule="exact"/>
        <w:rPr>
          <w:sz w:val="20"/>
          <w:szCs w:val="20"/>
          <w:color w:val="auto"/>
        </w:rPr>
      </w:pPr>
    </w:p>
    <w:p>
      <w:pPr>
        <w:spacing w:after="0"/>
        <w:rPr>
          <w:sz w:val="20"/>
          <w:szCs w:val="20"/>
          <w:color w:val="auto"/>
        </w:rPr>
      </w:pPr>
      <w:r>
        <w:rPr>
          <w:rFonts w:ascii="Arial" w:cs="Arial" w:eastAsia="Arial" w:hAnsi="Arial"/>
          <w:sz w:val="27"/>
          <w:szCs w:val="27"/>
          <w:b w:val="1"/>
          <w:bCs w:val="1"/>
          <w:color w:val="265E7C"/>
        </w:rPr>
        <w:t>Proposal No. 2</w:t>
      </w:r>
    </w:p>
    <w:p>
      <w:pPr>
        <w:spacing w:after="0" w:line="35" w:lineRule="exact"/>
        <w:rPr>
          <w:sz w:val="20"/>
          <w:szCs w:val="20"/>
          <w:color w:val="auto"/>
        </w:rPr>
      </w:pPr>
    </w:p>
    <w:p>
      <w:pPr>
        <w:spacing w:after="0"/>
        <w:rPr>
          <w:sz w:val="20"/>
          <w:szCs w:val="20"/>
          <w:color w:val="auto"/>
        </w:rPr>
      </w:pPr>
      <w:r>
        <w:rPr>
          <w:rFonts w:ascii="Arial" w:cs="Arial" w:eastAsia="Arial" w:hAnsi="Arial"/>
          <w:sz w:val="34"/>
          <w:szCs w:val="34"/>
          <w:b w:val="1"/>
          <w:bCs w:val="1"/>
          <w:color w:val="00304D"/>
        </w:rPr>
        <w:t>Advisory Vote to Approve Named Executive Officer Compensation</w:t>
      </w:r>
    </w:p>
    <w:p>
      <w:pPr>
        <w:spacing w:after="0" w:line="381"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Every year we give our stockholders the opportunity to vote on a non-binding, advisory basis, to approve the compensation of our Named Executive Officers. This proposal is commonly referred to as “Say on Pay.” We are asking stockholders to vote FOR the adoption of the following resolution:</w:t>
      </w:r>
    </w:p>
    <w:p>
      <w:pPr>
        <w:spacing w:after="0" w:line="125"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“Resolved, the compensation paid to the Company’s Named Executive Officers, as disclosed pursuant to Item 402 of Regulation S-K of the Securities Exchange Act of 1934, including the Compensation Discussion and Analysis, compensation tables and narrative discussion, is hereby APPROVED.”</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This vote is advisory and therefore not binding on the Company, the Compensation Committee or the Board. However, the Board and the Compensation Committee value the opinion of Middleby stockholders. The Board and the Compensation Committee will consider the views of our stockholders expressed through the advisory vote and, based on the results of the vote, the Compensation Committee will evaluate whether any actions are necessary to address stockholder concerns.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As outlined in the Compensation Discussion and Analysis (“CD&amp;A”) section that follows, our compensation program is designed to maximize achievement of strategic</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Company goals based on the following objectives:</w:t>
      </w:r>
    </w:p>
    <w:p>
      <w:pPr>
        <w:spacing w:after="0" w:line="167" w:lineRule="exact"/>
        <w:rPr>
          <w:sz w:val="20"/>
          <w:szCs w:val="20"/>
          <w:color w:val="auto"/>
        </w:rPr>
      </w:pPr>
    </w:p>
    <w:p>
      <w:pPr>
        <w:ind w:left="160" w:hanging="159"/>
        <w:spacing w:after="0"/>
        <w:tabs>
          <w:tab w:leader="none" w:pos="160" w:val="left"/>
        </w:tabs>
        <w:numPr>
          <w:ilvl w:val="0"/>
          <w:numId w:val="27"/>
        </w:numPr>
        <w:rPr>
          <w:rFonts w:ascii="Arial" w:cs="Arial" w:eastAsia="Arial" w:hAnsi="Arial"/>
          <w:sz w:val="15"/>
          <w:szCs w:val="15"/>
          <w:color w:val="265E7C"/>
        </w:rPr>
      </w:pPr>
      <w:r>
        <w:rPr>
          <w:rFonts w:ascii="Arial" w:cs="Arial" w:eastAsia="Arial" w:hAnsi="Arial"/>
          <w:sz w:val="15"/>
          <w:szCs w:val="15"/>
          <w:color w:val="auto"/>
        </w:rPr>
        <w:t>attract and retain executive talent;</w:t>
      </w:r>
    </w:p>
    <w:p>
      <w:pPr>
        <w:spacing w:after="0" w:line="79" w:lineRule="exact"/>
        <w:rPr>
          <w:rFonts w:ascii="Arial" w:cs="Arial" w:eastAsia="Arial" w:hAnsi="Arial"/>
          <w:sz w:val="15"/>
          <w:szCs w:val="15"/>
          <w:color w:val="265E7C"/>
        </w:rPr>
      </w:pPr>
    </w:p>
    <w:p>
      <w:pPr>
        <w:ind w:left="160" w:hanging="159"/>
        <w:spacing w:after="0"/>
        <w:tabs>
          <w:tab w:leader="none" w:pos="160" w:val="left"/>
        </w:tabs>
        <w:numPr>
          <w:ilvl w:val="0"/>
          <w:numId w:val="27"/>
        </w:numPr>
        <w:rPr>
          <w:rFonts w:ascii="Arial" w:cs="Arial" w:eastAsia="Arial" w:hAnsi="Arial"/>
          <w:sz w:val="15"/>
          <w:szCs w:val="15"/>
          <w:color w:val="265E7C"/>
        </w:rPr>
      </w:pPr>
      <w:r>
        <w:rPr>
          <w:rFonts w:ascii="Arial" w:cs="Arial" w:eastAsia="Arial" w:hAnsi="Arial"/>
          <w:sz w:val="15"/>
          <w:szCs w:val="15"/>
          <w:color w:val="auto"/>
        </w:rPr>
        <w:t>link executive compensation with operating performance;</w:t>
      </w:r>
    </w:p>
    <w:p>
      <w:pPr>
        <w:spacing w:after="0" w:line="79" w:lineRule="exact"/>
        <w:rPr>
          <w:rFonts w:ascii="Arial" w:cs="Arial" w:eastAsia="Arial" w:hAnsi="Arial"/>
          <w:sz w:val="15"/>
          <w:szCs w:val="15"/>
          <w:color w:val="265E7C"/>
        </w:rPr>
      </w:pPr>
    </w:p>
    <w:p>
      <w:pPr>
        <w:ind w:left="160" w:hanging="159"/>
        <w:spacing w:after="0"/>
        <w:tabs>
          <w:tab w:leader="none" w:pos="160" w:val="left"/>
        </w:tabs>
        <w:numPr>
          <w:ilvl w:val="0"/>
          <w:numId w:val="27"/>
        </w:numPr>
        <w:rPr>
          <w:rFonts w:ascii="Arial" w:cs="Arial" w:eastAsia="Arial" w:hAnsi="Arial"/>
          <w:sz w:val="15"/>
          <w:szCs w:val="15"/>
          <w:color w:val="265E7C"/>
        </w:rPr>
      </w:pPr>
      <w:r>
        <w:rPr>
          <w:rFonts w:ascii="Arial" w:cs="Arial" w:eastAsia="Arial" w:hAnsi="Arial"/>
          <w:sz w:val="15"/>
          <w:szCs w:val="15"/>
          <w:color w:val="auto"/>
        </w:rPr>
        <w:t>align executive long-term compensation with stockholder interests; and</w:t>
      </w:r>
    </w:p>
    <w:p>
      <w:pPr>
        <w:spacing w:after="0" w:line="79" w:lineRule="exact"/>
        <w:rPr>
          <w:rFonts w:ascii="Arial" w:cs="Arial" w:eastAsia="Arial" w:hAnsi="Arial"/>
          <w:sz w:val="15"/>
          <w:szCs w:val="15"/>
          <w:color w:val="265E7C"/>
        </w:rPr>
      </w:pPr>
    </w:p>
    <w:p>
      <w:pPr>
        <w:ind w:left="160" w:hanging="159"/>
        <w:spacing w:after="0"/>
        <w:tabs>
          <w:tab w:leader="none" w:pos="160" w:val="left"/>
        </w:tabs>
        <w:numPr>
          <w:ilvl w:val="0"/>
          <w:numId w:val="27"/>
        </w:numPr>
        <w:rPr>
          <w:rFonts w:ascii="Arial" w:cs="Arial" w:eastAsia="Arial" w:hAnsi="Arial"/>
          <w:sz w:val="15"/>
          <w:szCs w:val="15"/>
          <w:color w:val="265E7C"/>
        </w:rPr>
      </w:pPr>
      <w:r>
        <w:rPr>
          <w:rFonts w:ascii="Arial" w:cs="Arial" w:eastAsia="Arial" w:hAnsi="Arial"/>
          <w:sz w:val="15"/>
          <w:szCs w:val="15"/>
          <w:color w:val="auto"/>
        </w:rPr>
        <w:t>facilitate a high-growth company strategy.</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Compensation Committee and the Board believe that the policies and procedures articulated in the CD&amp;A are effective in achieving these goals and that the compensation of the Named Executive Officers reported in this Proxy Statement has contributed to the Company’s long-term success. The Company encourages stockholders to review the executive compensation section, executive compensation tables and pay versus performance section for details of how our executive compensation policies and procedures operate and are designed to achieve the Company’s compensation objectives.</w:t>
      </w:r>
    </w:p>
    <w:p>
      <w:pPr>
        <w:spacing w:after="0" w:line="348"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Vote Required for Approval; Board Recommendation</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vote of a majority of votes cast is necessary for advisory approval of this proposal. Although this vote is advisory in nature and does not require any action by the Company or the Compensation Committee, the Company strongly encourages all stockholders to vote on this matter.</w:t>
      </w:r>
    </w:p>
    <w:p>
      <w:pPr>
        <w:spacing w:after="0" w:line="125" w:lineRule="exact"/>
        <w:rPr>
          <w:sz w:val="20"/>
          <w:szCs w:val="20"/>
          <w:color w:val="auto"/>
        </w:rPr>
      </w:pPr>
    </w:p>
    <w:p>
      <w:pPr>
        <w:ind w:left="300" w:right="460"/>
        <w:spacing w:after="0" w:line="294" w:lineRule="auto"/>
        <w:rPr>
          <w:sz w:val="20"/>
          <w:szCs w:val="20"/>
          <w:color w:val="auto"/>
        </w:rPr>
      </w:pPr>
      <w:r>
        <w:rPr>
          <w:rFonts w:ascii="Arial" w:cs="Arial" w:eastAsia="Arial" w:hAnsi="Arial"/>
          <w:sz w:val="15"/>
          <w:szCs w:val="15"/>
          <w:b w:val="1"/>
          <w:bCs w:val="1"/>
          <w:i w:val="1"/>
          <w:iCs w:val="1"/>
          <w:color w:val="00304D"/>
        </w:rPr>
        <w:t>THE BOARD OF DIRECTORS UNANIMOUSLY RECOMMENDS THAT STOCKHOLDERS VOTE “FOR” THE APPROVAL OF THE COMPANY’S NAMED EXECUTIVE OFFICER COMPENSATION AS DISCLOSED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-259715</wp:posOffset>
            </wp:positionV>
            <wp:extent cx="160020" cy="1600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60020" cy="160020"/>
                    </a:xfrm>
                    <a:prstGeom prst="rect">
                      <a:avLst/>
                    </a:prstGeom>
                    <a:noFill/>
                  </pic:spPr>
                </pic:pic>
              </a:graphicData>
            </a:graphic>
          </wp:anchor>
        </w:drawing>
      </w:r>
    </w:p>
    <w:p>
      <w:pPr>
        <w:spacing w:after="0" w:line="8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0" w:lineRule="exact"/>
        <w:rPr>
          <w:sz w:val="20"/>
          <w:szCs w:val="20"/>
          <w:color w:val="auto"/>
        </w:rPr>
      </w:pPr>
    </w:p>
    <w:p>
      <w:pPr>
        <w:spacing w:after="0"/>
        <w:rPr>
          <w:sz w:val="20"/>
          <w:szCs w:val="20"/>
          <w:color w:val="auto"/>
        </w:rPr>
      </w:pPr>
      <w:r>
        <w:rPr>
          <w:rFonts w:ascii="Arial" w:cs="Arial" w:eastAsia="Arial" w:hAnsi="Arial"/>
          <w:sz w:val="34"/>
          <w:szCs w:val="34"/>
          <w:b w:val="1"/>
          <w:bCs w:val="1"/>
          <w:color w:val="00304D"/>
        </w:rPr>
        <w:t>Executive Compensation</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r>
              <w:rPr>
                <w:rFonts w:ascii="Arial" w:cs="Arial" w:eastAsia="Arial" w:hAnsi="Arial"/>
                <w:sz w:val="17"/>
                <w:szCs w:val="17"/>
                <w:b w:val="1"/>
                <w:bCs w:val="1"/>
                <w:color w:val="00304D"/>
              </w:rPr>
              <w:t>Table of Contents</w:t>
            </w:r>
          </w:p>
        </w:tc>
        <w:tc>
          <w:tcPr>
            <w:tcW w:w="1980" w:type="dxa"/>
            <w:vAlign w:val="bottom"/>
          </w:tcPr>
          <w:p>
            <w:pPr>
              <w:spacing w:after="0"/>
              <w:rPr>
                <w:sz w:val="20"/>
                <w:szCs w:val="20"/>
                <w:color w:val="auto"/>
              </w:rPr>
            </w:pPr>
          </w:p>
        </w:tc>
      </w:tr>
      <w:tr>
        <w:trPr>
          <w:trHeight w:val="330"/>
        </w:trPr>
        <w:tc>
          <w:tcPr>
            <w:tcW w:w="7000" w:type="dxa"/>
            <w:vAlign w:val="bottom"/>
          </w:tcPr>
          <w:p>
            <w:pPr>
              <w:spacing w:after="0"/>
              <w:rPr>
                <w:sz w:val="20"/>
                <w:szCs w:val="20"/>
                <w:color w:val="auto"/>
              </w:rPr>
            </w:pPr>
            <w:r>
              <w:rPr>
                <w:rFonts w:ascii="Arial" w:cs="Arial" w:eastAsia="Arial" w:hAnsi="Arial"/>
                <w:sz w:val="17"/>
                <w:szCs w:val="17"/>
                <w:b w:val="1"/>
                <w:bCs w:val="1"/>
                <w:i w:val="1"/>
                <w:iCs w:val="1"/>
                <w:color w:val="265E7C"/>
              </w:rPr>
              <w:t>Compensation Discussion and Analysis</w:t>
            </w:r>
          </w:p>
        </w:tc>
        <w:tc>
          <w:tcPr>
            <w:tcW w:w="1980" w:type="dxa"/>
            <w:vAlign w:val="bottom"/>
          </w:tcPr>
          <w:p>
            <w:pPr>
              <w:jc w:val="right"/>
              <w:spacing w:after="0"/>
              <w:rPr>
                <w:sz w:val="20"/>
                <w:szCs w:val="20"/>
                <w:color w:val="auto"/>
              </w:rPr>
            </w:pPr>
            <w:r>
              <w:rPr>
                <w:rFonts w:ascii="Arial" w:cs="Arial" w:eastAsia="Arial" w:hAnsi="Arial"/>
                <w:sz w:val="17"/>
                <w:szCs w:val="17"/>
                <w:b w:val="1"/>
                <w:bCs w:val="1"/>
                <w:i w:val="1"/>
                <w:iCs w:val="1"/>
                <w:color w:val="265E7C"/>
              </w:rPr>
              <w:t>33</w:t>
            </w:r>
          </w:p>
        </w:tc>
      </w:tr>
      <w:tr>
        <w:trPr>
          <w:trHeight w:val="177"/>
        </w:trPr>
        <w:tc>
          <w:tcPr>
            <w:tcW w:w="7000" w:type="dxa"/>
            <w:vAlign w:val="bottom"/>
          </w:tcPr>
          <w:p>
            <w:pPr>
              <w:spacing w:after="0"/>
              <w:rPr>
                <w:sz w:val="20"/>
                <w:szCs w:val="20"/>
                <w:color w:val="auto"/>
              </w:rPr>
            </w:pPr>
            <w:r>
              <w:rPr>
                <w:rFonts w:ascii="Arial" w:cs="Arial" w:eastAsia="Arial" w:hAnsi="Arial"/>
                <w:sz w:val="15"/>
                <w:szCs w:val="15"/>
                <w:color w:val="00304D"/>
              </w:rPr>
              <w:t>Executive Summary</w:t>
            </w:r>
          </w:p>
        </w:tc>
        <w:tc>
          <w:tcPr>
            <w:tcW w:w="1980" w:type="dxa"/>
            <w:vAlign w:val="bottom"/>
          </w:tcPr>
          <w:p>
            <w:pPr>
              <w:jc w:val="right"/>
              <w:spacing w:after="0"/>
              <w:rPr>
                <w:sz w:val="20"/>
                <w:szCs w:val="20"/>
                <w:color w:val="auto"/>
              </w:rPr>
            </w:pPr>
            <w:r>
              <w:rPr>
                <w:rFonts w:ascii="Arial" w:cs="Arial" w:eastAsia="Arial" w:hAnsi="Arial"/>
                <w:sz w:val="15"/>
                <w:szCs w:val="15"/>
                <w:color w:val="00304D"/>
              </w:rPr>
              <w:t>33</w:t>
            </w:r>
          </w:p>
        </w:tc>
      </w:tr>
      <w:tr>
        <w:trPr>
          <w:trHeight w:val="177"/>
        </w:trPr>
        <w:tc>
          <w:tcPr>
            <w:tcW w:w="7000" w:type="dxa"/>
            <w:vAlign w:val="bottom"/>
          </w:tcPr>
          <w:p>
            <w:pPr>
              <w:spacing w:after="0"/>
              <w:rPr>
                <w:sz w:val="20"/>
                <w:szCs w:val="20"/>
                <w:color w:val="auto"/>
              </w:rPr>
            </w:pPr>
            <w:r>
              <w:rPr>
                <w:rFonts w:ascii="Arial" w:cs="Arial" w:eastAsia="Arial" w:hAnsi="Arial"/>
                <w:sz w:val="15"/>
                <w:szCs w:val="15"/>
                <w:color w:val="00304D"/>
              </w:rPr>
              <w:t>Stockholder Engagement Following the 2025 Annual Meeting</w:t>
            </w:r>
          </w:p>
        </w:tc>
        <w:tc>
          <w:tcPr>
            <w:tcW w:w="1980" w:type="dxa"/>
            <w:vAlign w:val="bottom"/>
          </w:tcPr>
          <w:p>
            <w:pPr>
              <w:jc w:val="right"/>
              <w:spacing w:after="0"/>
              <w:rPr>
                <w:sz w:val="20"/>
                <w:szCs w:val="20"/>
                <w:color w:val="auto"/>
              </w:rPr>
            </w:pPr>
            <w:r>
              <w:rPr>
                <w:rFonts w:ascii="Arial" w:cs="Arial" w:eastAsia="Arial" w:hAnsi="Arial"/>
                <w:sz w:val="15"/>
                <w:szCs w:val="15"/>
                <w:color w:val="00304D"/>
              </w:rPr>
              <w:t>34</w:t>
            </w:r>
          </w:p>
        </w:tc>
      </w:tr>
      <w:tr>
        <w:trPr>
          <w:trHeight w:val="177"/>
        </w:trPr>
        <w:tc>
          <w:tcPr>
            <w:tcW w:w="7000" w:type="dxa"/>
            <w:vAlign w:val="bottom"/>
          </w:tcPr>
          <w:p>
            <w:pPr>
              <w:spacing w:after="0"/>
              <w:rPr>
                <w:sz w:val="20"/>
                <w:szCs w:val="20"/>
                <w:color w:val="auto"/>
              </w:rPr>
            </w:pPr>
            <w:r>
              <w:rPr>
                <w:rFonts w:ascii="Arial" w:cs="Arial" w:eastAsia="Arial" w:hAnsi="Arial"/>
                <w:sz w:val="15"/>
                <w:szCs w:val="15"/>
                <w:color w:val="00304D"/>
              </w:rPr>
              <w:t>Compensation Objectives and Philosophy</w:t>
            </w:r>
          </w:p>
        </w:tc>
        <w:tc>
          <w:tcPr>
            <w:tcW w:w="1980" w:type="dxa"/>
            <w:vAlign w:val="bottom"/>
          </w:tcPr>
          <w:p>
            <w:pPr>
              <w:jc w:val="right"/>
              <w:spacing w:after="0"/>
              <w:rPr>
                <w:sz w:val="20"/>
                <w:szCs w:val="20"/>
                <w:color w:val="auto"/>
              </w:rPr>
            </w:pPr>
            <w:r>
              <w:rPr>
                <w:rFonts w:ascii="Arial" w:cs="Arial" w:eastAsia="Arial" w:hAnsi="Arial"/>
                <w:sz w:val="15"/>
                <w:szCs w:val="15"/>
                <w:color w:val="00304D"/>
              </w:rPr>
              <w:t>34</w:t>
            </w:r>
          </w:p>
        </w:tc>
      </w:tr>
      <w:tr>
        <w:trPr>
          <w:trHeight w:val="177"/>
        </w:trPr>
        <w:tc>
          <w:tcPr>
            <w:tcW w:w="7000" w:type="dxa"/>
            <w:vAlign w:val="bottom"/>
          </w:tcPr>
          <w:p>
            <w:pPr>
              <w:spacing w:after="0"/>
              <w:rPr>
                <w:sz w:val="20"/>
                <w:szCs w:val="20"/>
                <w:color w:val="auto"/>
              </w:rPr>
            </w:pPr>
            <w:r>
              <w:rPr>
                <w:rFonts w:ascii="Arial" w:cs="Arial" w:eastAsia="Arial" w:hAnsi="Arial"/>
                <w:sz w:val="15"/>
                <w:szCs w:val="15"/>
                <w:color w:val="00304D"/>
              </w:rPr>
              <w:t>Parties Involved in Compensation Decisions</w:t>
            </w:r>
          </w:p>
        </w:tc>
        <w:tc>
          <w:tcPr>
            <w:tcW w:w="1980" w:type="dxa"/>
            <w:vAlign w:val="bottom"/>
          </w:tcPr>
          <w:p>
            <w:pPr>
              <w:jc w:val="right"/>
              <w:spacing w:after="0"/>
              <w:rPr>
                <w:sz w:val="20"/>
                <w:szCs w:val="20"/>
                <w:color w:val="auto"/>
              </w:rPr>
            </w:pPr>
            <w:r>
              <w:rPr>
                <w:rFonts w:ascii="Arial" w:cs="Arial" w:eastAsia="Arial" w:hAnsi="Arial"/>
                <w:sz w:val="15"/>
                <w:szCs w:val="15"/>
                <w:color w:val="00304D"/>
              </w:rPr>
              <w:t>35</w:t>
            </w:r>
          </w:p>
        </w:tc>
      </w:tr>
      <w:tr>
        <w:trPr>
          <w:trHeight w:val="177"/>
        </w:trPr>
        <w:tc>
          <w:tcPr>
            <w:tcW w:w="7000" w:type="dxa"/>
            <w:vAlign w:val="bottom"/>
          </w:tcPr>
          <w:p>
            <w:pPr>
              <w:spacing w:after="0"/>
              <w:rPr>
                <w:sz w:val="20"/>
                <w:szCs w:val="20"/>
                <w:color w:val="auto"/>
              </w:rPr>
            </w:pPr>
            <w:r>
              <w:rPr>
                <w:rFonts w:ascii="Arial" w:cs="Arial" w:eastAsia="Arial" w:hAnsi="Arial"/>
                <w:sz w:val="15"/>
                <w:szCs w:val="15"/>
                <w:color w:val="00304D"/>
              </w:rPr>
              <w:t>Fiscal Year 2025 Compensation Decisions</w:t>
            </w:r>
          </w:p>
        </w:tc>
        <w:tc>
          <w:tcPr>
            <w:tcW w:w="1980" w:type="dxa"/>
            <w:vAlign w:val="bottom"/>
          </w:tcPr>
          <w:p>
            <w:pPr>
              <w:jc w:val="right"/>
              <w:spacing w:after="0"/>
              <w:rPr>
                <w:sz w:val="20"/>
                <w:szCs w:val="20"/>
                <w:color w:val="auto"/>
              </w:rPr>
            </w:pPr>
            <w:r>
              <w:rPr>
                <w:rFonts w:ascii="Arial" w:cs="Arial" w:eastAsia="Arial" w:hAnsi="Arial"/>
                <w:sz w:val="15"/>
                <w:szCs w:val="15"/>
                <w:color w:val="00304D"/>
              </w:rPr>
              <w:t>36</w:t>
            </w:r>
          </w:p>
        </w:tc>
      </w:tr>
      <w:tr>
        <w:trPr>
          <w:trHeight w:val="177"/>
        </w:trPr>
        <w:tc>
          <w:tcPr>
            <w:tcW w:w="7000" w:type="dxa"/>
            <w:vAlign w:val="bottom"/>
          </w:tcPr>
          <w:p>
            <w:pPr>
              <w:spacing w:after="0"/>
              <w:rPr>
                <w:sz w:val="20"/>
                <w:szCs w:val="20"/>
                <w:color w:val="auto"/>
              </w:rPr>
            </w:pPr>
            <w:r>
              <w:rPr>
                <w:rFonts w:ascii="Arial" w:cs="Arial" w:eastAsia="Arial" w:hAnsi="Arial"/>
                <w:sz w:val="15"/>
                <w:szCs w:val="15"/>
                <w:color w:val="00304D"/>
              </w:rPr>
              <w:t>Vesting of Equity Incentive Awards for 2023-2025 Performance Period</w:t>
            </w:r>
          </w:p>
        </w:tc>
        <w:tc>
          <w:tcPr>
            <w:tcW w:w="1980" w:type="dxa"/>
            <w:vAlign w:val="bottom"/>
          </w:tcPr>
          <w:p>
            <w:pPr>
              <w:jc w:val="right"/>
              <w:spacing w:after="0"/>
              <w:rPr>
                <w:sz w:val="20"/>
                <w:szCs w:val="20"/>
                <w:color w:val="auto"/>
              </w:rPr>
            </w:pPr>
            <w:r>
              <w:rPr>
                <w:rFonts w:ascii="Arial" w:cs="Arial" w:eastAsia="Arial" w:hAnsi="Arial"/>
                <w:sz w:val="15"/>
                <w:szCs w:val="15"/>
                <w:color w:val="00304D"/>
              </w:rPr>
              <w:t>39</w:t>
            </w:r>
          </w:p>
        </w:tc>
      </w:tr>
      <w:tr>
        <w:trPr>
          <w:trHeight w:val="177"/>
        </w:trPr>
        <w:tc>
          <w:tcPr>
            <w:tcW w:w="7000" w:type="dxa"/>
            <w:vAlign w:val="bottom"/>
          </w:tcPr>
          <w:p>
            <w:pPr>
              <w:spacing w:after="0"/>
              <w:rPr>
                <w:sz w:val="20"/>
                <w:szCs w:val="20"/>
                <w:color w:val="auto"/>
              </w:rPr>
            </w:pPr>
            <w:r>
              <w:rPr>
                <w:rFonts w:ascii="Arial" w:cs="Arial" w:eastAsia="Arial" w:hAnsi="Arial"/>
                <w:sz w:val="15"/>
                <w:szCs w:val="15"/>
                <w:color w:val="00304D"/>
              </w:rPr>
              <w:t>Stock Ownership Guidelines</w:t>
            </w:r>
          </w:p>
        </w:tc>
        <w:tc>
          <w:tcPr>
            <w:tcW w:w="1980" w:type="dxa"/>
            <w:vAlign w:val="bottom"/>
          </w:tcPr>
          <w:p>
            <w:pPr>
              <w:jc w:val="right"/>
              <w:spacing w:after="0"/>
              <w:rPr>
                <w:sz w:val="20"/>
                <w:szCs w:val="20"/>
                <w:color w:val="auto"/>
              </w:rPr>
            </w:pPr>
            <w:r>
              <w:rPr>
                <w:rFonts w:ascii="Arial" w:cs="Arial" w:eastAsia="Arial" w:hAnsi="Arial"/>
                <w:sz w:val="15"/>
                <w:szCs w:val="15"/>
                <w:color w:val="00304D"/>
              </w:rPr>
              <w:t>40</w:t>
            </w:r>
          </w:p>
        </w:tc>
      </w:tr>
      <w:tr>
        <w:trPr>
          <w:trHeight w:val="177"/>
        </w:trPr>
        <w:tc>
          <w:tcPr>
            <w:tcW w:w="7000" w:type="dxa"/>
            <w:vAlign w:val="bottom"/>
          </w:tcPr>
          <w:p>
            <w:pPr>
              <w:spacing w:after="0"/>
              <w:rPr>
                <w:sz w:val="20"/>
                <w:szCs w:val="20"/>
                <w:color w:val="auto"/>
              </w:rPr>
            </w:pPr>
            <w:r>
              <w:rPr>
                <w:rFonts w:ascii="Arial" w:cs="Arial" w:eastAsia="Arial" w:hAnsi="Arial"/>
                <w:sz w:val="15"/>
                <w:szCs w:val="15"/>
                <w:color w:val="00304D"/>
              </w:rPr>
              <w:t>Clawback Policy</w:t>
            </w:r>
          </w:p>
        </w:tc>
        <w:tc>
          <w:tcPr>
            <w:tcW w:w="1980" w:type="dxa"/>
            <w:vAlign w:val="bottom"/>
          </w:tcPr>
          <w:p>
            <w:pPr>
              <w:jc w:val="right"/>
              <w:spacing w:after="0"/>
              <w:rPr>
                <w:sz w:val="20"/>
                <w:szCs w:val="20"/>
                <w:color w:val="auto"/>
              </w:rPr>
            </w:pPr>
            <w:r>
              <w:rPr>
                <w:rFonts w:ascii="Arial" w:cs="Arial" w:eastAsia="Arial" w:hAnsi="Arial"/>
                <w:sz w:val="15"/>
                <w:szCs w:val="15"/>
                <w:color w:val="00304D"/>
              </w:rPr>
              <w:t>41</w:t>
            </w:r>
          </w:p>
        </w:tc>
      </w:tr>
      <w:tr>
        <w:trPr>
          <w:trHeight w:val="174"/>
        </w:trPr>
        <w:tc>
          <w:tcPr>
            <w:tcW w:w="7000" w:type="dxa"/>
            <w:vAlign w:val="bottom"/>
          </w:tcPr>
          <w:p>
            <w:pPr>
              <w:spacing w:after="0"/>
              <w:rPr>
                <w:sz w:val="20"/>
                <w:szCs w:val="20"/>
                <w:color w:val="auto"/>
              </w:rPr>
            </w:pPr>
            <w:r>
              <w:rPr>
                <w:rFonts w:ascii="Arial" w:cs="Arial" w:eastAsia="Arial" w:hAnsi="Arial"/>
                <w:sz w:val="15"/>
                <w:szCs w:val="15"/>
                <w:color w:val="00304D"/>
              </w:rPr>
              <w:t>Additional Compensation Information</w:t>
            </w:r>
          </w:p>
        </w:tc>
        <w:tc>
          <w:tcPr>
            <w:tcW w:w="1980" w:type="dxa"/>
            <w:vAlign w:val="bottom"/>
          </w:tcPr>
          <w:p>
            <w:pPr>
              <w:jc w:val="right"/>
              <w:spacing w:after="0"/>
              <w:rPr>
                <w:sz w:val="20"/>
                <w:szCs w:val="20"/>
                <w:color w:val="auto"/>
              </w:rPr>
            </w:pPr>
            <w:r>
              <w:rPr>
                <w:rFonts w:ascii="Arial" w:cs="Arial" w:eastAsia="Arial" w:hAnsi="Arial"/>
                <w:sz w:val="15"/>
                <w:szCs w:val="15"/>
                <w:color w:val="00304D"/>
              </w:rPr>
              <w:t>41</w:t>
            </w:r>
          </w:p>
        </w:tc>
      </w:tr>
      <w:tr>
        <w:trPr>
          <w:trHeight w:val="228"/>
        </w:trPr>
        <w:tc>
          <w:tcPr>
            <w:tcW w:w="7000" w:type="dxa"/>
            <w:vAlign w:val="bottom"/>
          </w:tcPr>
          <w:p>
            <w:pPr>
              <w:spacing w:after="0"/>
              <w:rPr>
                <w:sz w:val="20"/>
                <w:szCs w:val="20"/>
                <w:color w:val="auto"/>
              </w:rPr>
            </w:pPr>
            <w:r>
              <w:rPr>
                <w:rFonts w:ascii="Arial" w:cs="Arial" w:eastAsia="Arial" w:hAnsi="Arial"/>
                <w:sz w:val="17"/>
                <w:szCs w:val="17"/>
                <w:b w:val="1"/>
                <w:bCs w:val="1"/>
                <w:i w:val="1"/>
                <w:iCs w:val="1"/>
                <w:color w:val="265E7C"/>
              </w:rPr>
              <w:t>Report of the Compensation Committee of the Board of Directors</w:t>
            </w:r>
          </w:p>
        </w:tc>
        <w:tc>
          <w:tcPr>
            <w:tcW w:w="1980" w:type="dxa"/>
            <w:vAlign w:val="bottom"/>
          </w:tcPr>
          <w:p>
            <w:pPr>
              <w:jc w:val="right"/>
              <w:spacing w:after="0"/>
              <w:rPr>
                <w:sz w:val="20"/>
                <w:szCs w:val="20"/>
                <w:color w:val="auto"/>
              </w:rPr>
            </w:pPr>
            <w:r>
              <w:rPr>
                <w:rFonts w:ascii="Arial" w:cs="Arial" w:eastAsia="Arial" w:hAnsi="Arial"/>
                <w:sz w:val="17"/>
                <w:szCs w:val="17"/>
                <w:b w:val="1"/>
                <w:bCs w:val="1"/>
                <w:i w:val="1"/>
                <w:iCs w:val="1"/>
                <w:color w:val="265E7C"/>
              </w:rPr>
              <w:t>42</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Compensation Discussion and Analysis</w:t>
      </w:r>
    </w:p>
    <w:p>
      <w:pPr>
        <w:spacing w:after="0" w:line="187"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following Compensation Discussion and Analysis (“CD&amp;A”) describes the material elements of compensation for the Company’s fiscal year 2025 “Named Executive Officers,” or NEOs, identified below.</w:t>
      </w:r>
    </w:p>
    <w:p>
      <w:pPr>
        <w:spacing w:after="0" w:line="117" w:lineRule="exact"/>
        <w:rPr>
          <w:sz w:val="20"/>
          <w:szCs w:val="20"/>
          <w:color w:val="auto"/>
        </w:rPr>
      </w:pPr>
    </w:p>
    <w:tbl>
      <w:tblPr>
        <w:tblLayout w:type="fixed"/>
        <w:tblInd w:w="300" w:type="dxa"/>
        <w:tblCellMar>
          <w:top w:w="0" w:type="dxa"/>
          <w:left w:w="0" w:type="dxa"/>
          <w:bottom w:w="0" w:type="dxa"/>
          <w:right w:w="0" w:type="dxa"/>
        </w:tblCellMar>
      </w:tblPr>
      <w:tr>
        <w:trPr>
          <w:trHeight w:val="202"/>
        </w:trPr>
        <w:tc>
          <w:tcPr>
            <w:tcW w:w="3400" w:type="dxa"/>
            <w:vAlign w:val="bottom"/>
            <w:tcBorders>
              <w:top w:val="single" w:sz="8" w:color="002F4D"/>
              <w:bottom w:val="single" w:sz="8" w:color="002F4D"/>
            </w:tcBorders>
          </w:tcPr>
          <w:p>
            <w:pPr>
              <w:ind w:left="40"/>
              <w:spacing w:after="0"/>
              <w:rPr>
                <w:sz w:val="20"/>
                <w:szCs w:val="20"/>
                <w:color w:val="auto"/>
              </w:rPr>
            </w:pPr>
            <w:r>
              <w:rPr>
                <w:rFonts w:ascii="Arial" w:cs="Arial" w:eastAsia="Arial" w:hAnsi="Arial"/>
                <w:sz w:val="15"/>
                <w:szCs w:val="15"/>
                <w:color w:val="auto"/>
              </w:rPr>
              <w:t>Timothy J. FitzGerald</w:t>
            </w:r>
          </w:p>
        </w:tc>
        <w:tc>
          <w:tcPr>
            <w:tcW w:w="7260" w:type="dxa"/>
            <w:vAlign w:val="bottom"/>
            <w:tcBorders>
              <w:top w:val="single" w:sz="8" w:color="002F4D"/>
              <w:bottom w:val="single" w:sz="8" w:color="002F4D"/>
            </w:tcBorders>
          </w:tcPr>
          <w:p>
            <w:pPr>
              <w:ind w:left="1920"/>
              <w:spacing w:after="0"/>
              <w:rPr>
                <w:sz w:val="20"/>
                <w:szCs w:val="20"/>
                <w:color w:val="auto"/>
              </w:rPr>
            </w:pPr>
            <w:r>
              <w:rPr>
                <w:rFonts w:ascii="Arial" w:cs="Arial" w:eastAsia="Arial" w:hAnsi="Arial"/>
                <w:sz w:val="15"/>
                <w:szCs w:val="15"/>
                <w:color w:val="auto"/>
              </w:rPr>
              <w:t>Chief Executive Officer</w:t>
            </w:r>
          </w:p>
        </w:tc>
      </w:tr>
      <w:tr>
        <w:trPr>
          <w:trHeight w:val="207"/>
        </w:trPr>
        <w:tc>
          <w:tcPr>
            <w:tcW w:w="3400" w:type="dxa"/>
            <w:vAlign w:val="bottom"/>
            <w:tcBorders>
              <w:bottom w:val="single" w:sz="8" w:color="002F4D"/>
            </w:tcBorders>
          </w:tcPr>
          <w:p>
            <w:pPr>
              <w:ind w:left="40"/>
              <w:spacing w:after="0" w:line="207" w:lineRule="exact"/>
              <w:rPr>
                <w:sz w:val="20"/>
                <w:szCs w:val="20"/>
                <w:color w:val="auto"/>
              </w:rPr>
            </w:pPr>
            <w:r>
              <w:rPr>
                <w:rFonts w:ascii="Arial" w:cs="Arial" w:eastAsia="Arial" w:hAnsi="Arial"/>
                <w:sz w:val="15"/>
                <w:szCs w:val="15"/>
                <w:color w:val="auto"/>
              </w:rPr>
              <w:t>Bryan E. Mittelman</w:t>
            </w:r>
            <w:r>
              <w:rPr>
                <w:rFonts w:ascii="Arial" w:cs="Arial" w:eastAsia="Arial" w:hAnsi="Arial"/>
                <w:sz w:val="24"/>
                <w:szCs w:val="24"/>
                <w:color w:val="auto"/>
                <w:vertAlign w:val="superscript"/>
              </w:rPr>
              <w:t>(1)</w:t>
            </w:r>
          </w:p>
        </w:tc>
        <w:tc>
          <w:tcPr>
            <w:tcW w:w="7260" w:type="dxa"/>
            <w:vAlign w:val="bottom"/>
            <w:tcBorders>
              <w:bottom w:val="single" w:sz="8" w:color="002F4D"/>
            </w:tcBorders>
          </w:tcPr>
          <w:p>
            <w:pPr>
              <w:ind w:left="1920"/>
              <w:spacing w:after="0"/>
              <w:rPr>
                <w:sz w:val="20"/>
                <w:szCs w:val="20"/>
                <w:color w:val="auto"/>
              </w:rPr>
            </w:pPr>
            <w:r>
              <w:rPr>
                <w:rFonts w:ascii="Arial" w:cs="Arial" w:eastAsia="Arial" w:hAnsi="Arial"/>
                <w:sz w:val="15"/>
                <w:szCs w:val="15"/>
                <w:color w:val="auto"/>
              </w:rPr>
              <w:t>Chief Financial Officer</w:t>
            </w:r>
          </w:p>
        </w:tc>
      </w:tr>
      <w:tr>
        <w:trPr>
          <w:trHeight w:val="169"/>
        </w:trPr>
        <w:tc>
          <w:tcPr>
            <w:tcW w:w="3400" w:type="dxa"/>
            <w:vAlign w:val="bottom"/>
            <w:tcBorders>
              <w:bottom w:val="single" w:sz="8" w:color="002F4D"/>
            </w:tcBorders>
          </w:tcPr>
          <w:p>
            <w:pPr>
              <w:ind w:left="40"/>
              <w:spacing w:after="0" w:line="169" w:lineRule="exact"/>
              <w:rPr>
                <w:sz w:val="20"/>
                <w:szCs w:val="20"/>
                <w:color w:val="auto"/>
              </w:rPr>
            </w:pPr>
            <w:r>
              <w:rPr>
                <w:rFonts w:ascii="Arial" w:cs="Arial" w:eastAsia="Arial" w:hAnsi="Arial"/>
                <w:sz w:val="15"/>
                <w:szCs w:val="15"/>
                <w:color w:val="auto"/>
              </w:rPr>
              <w:t>James K. Pool III</w:t>
            </w:r>
          </w:p>
        </w:tc>
        <w:tc>
          <w:tcPr>
            <w:tcW w:w="7260" w:type="dxa"/>
            <w:vAlign w:val="bottom"/>
            <w:tcBorders>
              <w:bottom w:val="single" w:sz="8" w:color="002F4D"/>
            </w:tcBorders>
          </w:tcPr>
          <w:p>
            <w:pPr>
              <w:ind w:left="1920"/>
              <w:spacing w:after="0" w:line="169" w:lineRule="exact"/>
              <w:rPr>
                <w:sz w:val="20"/>
                <w:szCs w:val="20"/>
                <w:color w:val="auto"/>
              </w:rPr>
            </w:pPr>
            <w:r>
              <w:rPr>
                <w:rFonts w:ascii="Arial" w:cs="Arial" w:eastAsia="Arial" w:hAnsi="Arial"/>
                <w:sz w:val="15"/>
                <w:szCs w:val="15"/>
                <w:color w:val="auto"/>
              </w:rPr>
              <w:t>Chief Technology and Operations Officer</w:t>
            </w:r>
          </w:p>
        </w:tc>
      </w:tr>
      <w:tr>
        <w:trPr>
          <w:trHeight w:val="169"/>
        </w:trPr>
        <w:tc>
          <w:tcPr>
            <w:tcW w:w="3400" w:type="dxa"/>
            <w:vAlign w:val="bottom"/>
            <w:tcBorders>
              <w:bottom w:val="single" w:sz="8" w:color="002F4D"/>
            </w:tcBorders>
          </w:tcPr>
          <w:p>
            <w:pPr>
              <w:ind w:left="40"/>
              <w:spacing w:after="0" w:line="169" w:lineRule="exact"/>
              <w:rPr>
                <w:sz w:val="20"/>
                <w:szCs w:val="20"/>
                <w:color w:val="auto"/>
              </w:rPr>
            </w:pPr>
            <w:r>
              <w:rPr>
                <w:rFonts w:ascii="Arial" w:cs="Arial" w:eastAsia="Arial" w:hAnsi="Arial"/>
                <w:sz w:val="15"/>
                <w:szCs w:val="15"/>
                <w:color w:val="auto"/>
              </w:rPr>
              <w:t>Steven P. Spittle</w:t>
            </w:r>
          </w:p>
        </w:tc>
        <w:tc>
          <w:tcPr>
            <w:tcW w:w="7260" w:type="dxa"/>
            <w:vAlign w:val="bottom"/>
            <w:tcBorders>
              <w:bottom w:val="single" w:sz="8" w:color="002F4D"/>
            </w:tcBorders>
          </w:tcPr>
          <w:p>
            <w:pPr>
              <w:ind w:left="1920"/>
              <w:spacing w:after="0" w:line="169" w:lineRule="exact"/>
              <w:rPr>
                <w:sz w:val="20"/>
                <w:szCs w:val="20"/>
                <w:color w:val="auto"/>
              </w:rPr>
            </w:pPr>
            <w:r>
              <w:rPr>
                <w:rFonts w:ascii="Arial" w:cs="Arial" w:eastAsia="Arial" w:hAnsi="Arial"/>
                <w:sz w:val="15"/>
                <w:szCs w:val="15"/>
                <w:color w:val="auto"/>
              </w:rPr>
              <w:t>Chief Commercial Officer</w:t>
            </w:r>
          </w:p>
        </w:tc>
      </w:tr>
      <w:tr>
        <w:trPr>
          <w:trHeight w:val="175"/>
        </w:trPr>
        <w:tc>
          <w:tcPr>
            <w:tcW w:w="3400" w:type="dxa"/>
            <w:vAlign w:val="bottom"/>
            <w:tcBorders>
              <w:bottom w:val="single" w:sz="8" w:color="002F4D"/>
            </w:tcBorders>
          </w:tcPr>
          <w:p>
            <w:pPr>
              <w:ind w:left="40"/>
              <w:spacing w:after="0" w:line="169" w:lineRule="exact"/>
              <w:rPr>
                <w:sz w:val="20"/>
                <w:szCs w:val="20"/>
                <w:color w:val="auto"/>
              </w:rPr>
            </w:pPr>
            <w:r>
              <w:rPr>
                <w:rFonts w:ascii="Arial" w:cs="Arial" w:eastAsia="Arial" w:hAnsi="Arial"/>
                <w:sz w:val="15"/>
                <w:szCs w:val="15"/>
                <w:color w:val="auto"/>
              </w:rPr>
              <w:t>Matthew R. Fuchsen</w:t>
            </w:r>
          </w:p>
        </w:tc>
        <w:tc>
          <w:tcPr>
            <w:tcW w:w="7260" w:type="dxa"/>
            <w:vAlign w:val="bottom"/>
            <w:tcBorders>
              <w:bottom w:val="single" w:sz="8" w:color="002F4D"/>
            </w:tcBorders>
          </w:tcPr>
          <w:p>
            <w:pPr>
              <w:ind w:left="1920"/>
              <w:spacing w:after="0" w:line="169" w:lineRule="exact"/>
              <w:rPr>
                <w:sz w:val="20"/>
                <w:szCs w:val="20"/>
                <w:color w:val="auto"/>
              </w:rPr>
            </w:pPr>
            <w:r>
              <w:rPr>
                <w:rFonts w:ascii="Arial" w:cs="Arial" w:eastAsia="Arial" w:hAnsi="Arial"/>
                <w:sz w:val="15"/>
                <w:szCs w:val="15"/>
                <w:color w:val="auto"/>
              </w:rPr>
              <w:t>Chief Development Officer</w:t>
            </w:r>
          </w:p>
        </w:tc>
      </w:tr>
    </w:tbl>
    <w:p>
      <w:pPr>
        <w:spacing w:after="0" w:line="56" w:lineRule="exact"/>
        <w:rPr>
          <w:sz w:val="20"/>
          <w:szCs w:val="20"/>
          <w:color w:val="auto"/>
        </w:rPr>
      </w:pPr>
    </w:p>
    <w:p>
      <w:pPr>
        <w:ind w:left="300" w:hanging="299"/>
        <w:spacing w:after="0" w:line="262" w:lineRule="auto"/>
        <w:tabs>
          <w:tab w:leader="none" w:pos="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Effective March 24, 2026, Mr. Mittelman transitioned from his position as Chief Financial Officer of the Company to a non-officer position as a Special Advisor to the Chief Executive Officer.</w:t>
      </w: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b w:val="1"/>
          <w:bCs w:val="1"/>
          <w:color w:val="00304D"/>
        </w:rPr>
        <w:t>Executive Summary</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We seek to closely align the interests of our Named Executive Officers with the interests of our stockholders. As described in this CD&amp;A, our compensation program features a pay for performance design that rewards our Named Executive Officers for achieving short-term and long-term financial goals.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304D"/>
        </w:rPr>
        <w:t>2025 Highlights and Performance</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In 2025, Middleby and its management team executed decisive portfolio actions to unlock significant stockholder value. We recently completed the sale of a 51% stake in our Residential Kitchen business at an $885 million enterprise valuation, first announced in December, delivering approximately $565 million in cash proceeds while retaining meaningful upside through our 49% ownership. In anticipation of the proceeds from this transaction, combined with one of the most aggressive capital return programs in our industry, we deployed $710 million in share repurchases in 2025, reducing our share count by approximately 9%. We remain on track to complete the separation of our Food Processing business in the second quarter of 2026, creating two independent, pure-play industry leaders with enhanced focus and optimized capital structures.</w:t>
      </w:r>
    </w:p>
    <w:p>
      <w:pPr>
        <w:spacing w:after="0" w:line="146"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Achievement of our 3-year long term equity incentives over the 2023-2025 performance period reflected below target results that were adjusted downward by our 3-year TSR modifier, resulting in long term equity incentives earned at below target. This demonstrates the alignment between our long term equity incentive program and the interests of our stockholders. Likewise, annual incentive compensation for our executives for FY2025 results was at 0% of target, reflecting below target achievement on our annual incentive program’s organic adjusted EBITDA$ and organic adjusted EBITDA% targets.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265E7C"/>
        </w:rPr>
        <w:t>$10,000 Compound Investment Growth - 5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122555</wp:posOffset>
            </wp:positionV>
            <wp:extent cx="3326130" cy="20758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26130" cy="207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34" w:name="page35"/>
    <w:bookmarkEnd w:id="34"/>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5E7C"/>
        </w:rPr>
        <w:t>Highlights of 2025 Compensation Program</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chart summarizes the elements of direct compensation paid to our Named Executive Officers in fiscal year 2025.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280" w:type="dxa"/>
            <w:vAlign w:val="bottom"/>
          </w:tcPr>
          <w:p>
            <w:pPr>
              <w:ind w:left="60"/>
              <w:spacing w:after="0"/>
              <w:rPr>
                <w:sz w:val="20"/>
                <w:szCs w:val="20"/>
                <w:color w:val="auto"/>
              </w:rPr>
            </w:pPr>
            <w:r>
              <w:rPr>
                <w:rFonts w:ascii="Arial" w:cs="Arial" w:eastAsia="Arial" w:hAnsi="Arial"/>
                <w:sz w:val="15"/>
                <w:szCs w:val="15"/>
                <w:b w:val="1"/>
                <w:bCs w:val="1"/>
                <w:color w:val="00304D"/>
              </w:rPr>
              <w:t>Compensation</w:t>
            </w:r>
          </w:p>
        </w:tc>
        <w:tc>
          <w:tcPr>
            <w:tcW w:w="2520" w:type="dxa"/>
            <w:vAlign w:val="bottom"/>
          </w:tcPr>
          <w:p>
            <w:pPr>
              <w:spacing w:after="0"/>
              <w:rPr>
                <w:sz w:val="15"/>
                <w:szCs w:val="15"/>
                <w:color w:val="auto"/>
              </w:rPr>
            </w:pPr>
          </w:p>
        </w:tc>
        <w:tc>
          <w:tcPr>
            <w:tcW w:w="6440" w:type="dxa"/>
            <w:vAlign w:val="bottom"/>
          </w:tcPr>
          <w:p>
            <w:pPr>
              <w:spacing w:after="0"/>
              <w:rPr>
                <w:sz w:val="15"/>
                <w:szCs w:val="15"/>
                <w:color w:val="auto"/>
              </w:rPr>
            </w:pPr>
          </w:p>
        </w:tc>
      </w:tr>
      <w:tr>
        <w:trPr>
          <w:trHeight w:val="189"/>
        </w:trPr>
        <w:tc>
          <w:tcPr>
            <w:tcW w:w="228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00304D"/>
              </w:rPr>
              <w:t>element</w:t>
            </w:r>
          </w:p>
        </w:tc>
        <w:tc>
          <w:tcPr>
            <w:tcW w:w="2520" w:type="dxa"/>
            <w:vAlign w:val="bottom"/>
            <w:tcBorders>
              <w:bottom w:val="single" w:sz="8" w:color="002F4D"/>
            </w:tcBorders>
          </w:tcPr>
          <w:p>
            <w:pPr>
              <w:ind w:left="200"/>
              <w:spacing w:after="0"/>
              <w:rPr>
                <w:sz w:val="20"/>
                <w:szCs w:val="20"/>
                <w:color w:val="auto"/>
              </w:rPr>
            </w:pPr>
            <w:r>
              <w:rPr>
                <w:rFonts w:ascii="Arial" w:cs="Arial" w:eastAsia="Arial" w:hAnsi="Arial"/>
                <w:sz w:val="15"/>
                <w:szCs w:val="15"/>
                <w:b w:val="1"/>
                <w:bCs w:val="1"/>
                <w:color w:val="00304D"/>
              </w:rPr>
              <w:t>How paid</w:t>
            </w:r>
          </w:p>
        </w:tc>
        <w:tc>
          <w:tcPr>
            <w:tcW w:w="6440" w:type="dxa"/>
            <w:vAlign w:val="bottom"/>
            <w:tcBorders>
              <w:bottom w:val="single" w:sz="8" w:color="002F4D"/>
            </w:tcBorders>
          </w:tcPr>
          <w:p>
            <w:pPr>
              <w:ind w:left="160"/>
              <w:spacing w:after="0"/>
              <w:rPr>
                <w:sz w:val="20"/>
                <w:szCs w:val="20"/>
                <w:color w:val="auto"/>
              </w:rPr>
            </w:pPr>
            <w:r>
              <w:rPr>
                <w:rFonts w:ascii="Arial" w:cs="Arial" w:eastAsia="Arial" w:hAnsi="Arial"/>
                <w:sz w:val="15"/>
                <w:szCs w:val="15"/>
                <w:b w:val="1"/>
                <w:bCs w:val="1"/>
                <w:color w:val="00304D"/>
              </w:rPr>
              <w:t>Metrics and vesting</w:t>
            </w:r>
          </w:p>
        </w:tc>
      </w:tr>
      <w:tr>
        <w:trPr>
          <w:trHeight w:val="157"/>
        </w:trPr>
        <w:tc>
          <w:tcPr>
            <w:tcW w:w="2280" w:type="dxa"/>
            <w:vAlign w:val="bottom"/>
          </w:tcPr>
          <w:p>
            <w:pPr>
              <w:ind w:left="60"/>
              <w:spacing w:after="0" w:line="157" w:lineRule="exact"/>
              <w:rPr>
                <w:sz w:val="20"/>
                <w:szCs w:val="20"/>
                <w:color w:val="auto"/>
              </w:rPr>
            </w:pPr>
            <w:r>
              <w:rPr>
                <w:rFonts w:ascii="Arial" w:cs="Arial" w:eastAsia="Arial" w:hAnsi="Arial"/>
                <w:sz w:val="15"/>
                <w:szCs w:val="15"/>
                <w:b w:val="1"/>
                <w:bCs w:val="1"/>
                <w:color w:val="00304D"/>
              </w:rPr>
              <w:t>Base salary</w:t>
            </w:r>
          </w:p>
        </w:tc>
        <w:tc>
          <w:tcPr>
            <w:tcW w:w="2520" w:type="dxa"/>
            <w:vAlign w:val="bottom"/>
          </w:tcPr>
          <w:p>
            <w:pPr>
              <w:ind w:left="200"/>
              <w:spacing w:after="0" w:line="157" w:lineRule="exact"/>
              <w:rPr>
                <w:sz w:val="20"/>
                <w:szCs w:val="20"/>
                <w:color w:val="auto"/>
              </w:rPr>
            </w:pPr>
            <w:r>
              <w:rPr>
                <w:rFonts w:ascii="Arial" w:cs="Arial" w:eastAsia="Arial" w:hAnsi="Arial"/>
                <w:sz w:val="15"/>
                <w:szCs w:val="15"/>
                <w:color w:val="auto"/>
              </w:rPr>
              <w:t>Cash</w:t>
            </w:r>
          </w:p>
        </w:tc>
        <w:tc>
          <w:tcPr>
            <w:tcW w:w="6440" w:type="dxa"/>
            <w:vAlign w:val="bottom"/>
          </w:tcPr>
          <w:p>
            <w:pPr>
              <w:ind w:left="160"/>
              <w:spacing w:after="0" w:line="157" w:lineRule="exact"/>
              <w:rPr>
                <w:sz w:val="20"/>
                <w:szCs w:val="20"/>
                <w:color w:val="auto"/>
              </w:rPr>
            </w:pPr>
            <w:r>
              <w:rPr>
                <w:rFonts w:ascii="Arial" w:cs="Arial" w:eastAsia="Arial" w:hAnsi="Arial"/>
                <w:sz w:val="15"/>
                <w:szCs w:val="15"/>
                <w:color w:val="auto"/>
              </w:rPr>
              <w:t>Typically based on the Company’s current business environment, the individual’s level of</w:t>
            </w:r>
          </w:p>
        </w:tc>
      </w:tr>
      <w:tr>
        <w:trPr>
          <w:trHeight w:val="189"/>
        </w:trPr>
        <w:tc>
          <w:tcPr>
            <w:tcW w:w="2280" w:type="dxa"/>
            <w:vAlign w:val="bottom"/>
            <w:tcBorders>
              <w:bottom w:val="single" w:sz="8" w:color="002F4D"/>
            </w:tcBorders>
          </w:tcPr>
          <w:p>
            <w:pPr>
              <w:spacing w:after="0"/>
              <w:rPr>
                <w:sz w:val="16"/>
                <w:szCs w:val="16"/>
                <w:color w:val="auto"/>
              </w:rPr>
            </w:pPr>
          </w:p>
        </w:tc>
        <w:tc>
          <w:tcPr>
            <w:tcW w:w="2520" w:type="dxa"/>
            <w:vAlign w:val="bottom"/>
            <w:tcBorders>
              <w:bottom w:val="single" w:sz="8" w:color="002F4D"/>
            </w:tcBorders>
          </w:tcPr>
          <w:p>
            <w:pPr>
              <w:spacing w:after="0"/>
              <w:rPr>
                <w:sz w:val="16"/>
                <w:szCs w:val="16"/>
                <w:color w:val="auto"/>
              </w:rPr>
            </w:pPr>
          </w:p>
        </w:tc>
        <w:tc>
          <w:tcPr>
            <w:tcW w:w="6440" w:type="dxa"/>
            <w:vAlign w:val="bottom"/>
            <w:tcBorders>
              <w:bottom w:val="single" w:sz="8" w:color="002F4D"/>
            </w:tcBorders>
          </w:tcPr>
          <w:p>
            <w:pPr>
              <w:ind w:left="160"/>
              <w:spacing w:after="0"/>
              <w:rPr>
                <w:sz w:val="20"/>
                <w:szCs w:val="20"/>
                <w:color w:val="auto"/>
              </w:rPr>
            </w:pPr>
            <w:r>
              <w:rPr>
                <w:rFonts w:ascii="Arial" w:cs="Arial" w:eastAsia="Arial" w:hAnsi="Arial"/>
                <w:sz w:val="15"/>
                <w:szCs w:val="15"/>
                <w:color w:val="auto"/>
              </w:rPr>
              <w:t>responsibility and merit within the Company, and peer reference data.</w:t>
            </w:r>
          </w:p>
        </w:tc>
      </w:tr>
      <w:tr>
        <w:trPr>
          <w:trHeight w:val="157"/>
        </w:trPr>
        <w:tc>
          <w:tcPr>
            <w:tcW w:w="2280" w:type="dxa"/>
            <w:vAlign w:val="bottom"/>
          </w:tcPr>
          <w:p>
            <w:pPr>
              <w:ind w:left="60"/>
              <w:spacing w:after="0" w:line="157" w:lineRule="exact"/>
              <w:rPr>
                <w:sz w:val="20"/>
                <w:szCs w:val="20"/>
                <w:color w:val="auto"/>
              </w:rPr>
            </w:pPr>
            <w:r>
              <w:rPr>
                <w:rFonts w:ascii="Arial" w:cs="Arial" w:eastAsia="Arial" w:hAnsi="Arial"/>
                <w:sz w:val="15"/>
                <w:szCs w:val="15"/>
                <w:b w:val="1"/>
                <w:bCs w:val="1"/>
                <w:color w:val="00304D"/>
              </w:rPr>
              <w:t>Annual incentive</w:t>
            </w:r>
          </w:p>
        </w:tc>
        <w:tc>
          <w:tcPr>
            <w:tcW w:w="2520" w:type="dxa"/>
            <w:vAlign w:val="bottom"/>
          </w:tcPr>
          <w:p>
            <w:pPr>
              <w:ind w:left="200"/>
              <w:spacing w:after="0" w:line="157" w:lineRule="exact"/>
              <w:rPr>
                <w:sz w:val="20"/>
                <w:szCs w:val="20"/>
                <w:color w:val="auto"/>
              </w:rPr>
            </w:pPr>
            <w:r>
              <w:rPr>
                <w:rFonts w:ascii="Arial" w:cs="Arial" w:eastAsia="Arial" w:hAnsi="Arial"/>
                <w:sz w:val="15"/>
                <w:szCs w:val="15"/>
                <w:color w:val="auto"/>
              </w:rPr>
              <w:t>Cash</w:t>
            </w:r>
          </w:p>
        </w:tc>
        <w:tc>
          <w:tcPr>
            <w:tcW w:w="6440" w:type="dxa"/>
            <w:vAlign w:val="bottom"/>
          </w:tcPr>
          <w:p>
            <w:pPr>
              <w:ind w:left="160"/>
              <w:spacing w:after="0" w:line="157" w:lineRule="exact"/>
              <w:rPr>
                <w:sz w:val="20"/>
                <w:szCs w:val="20"/>
                <w:color w:val="auto"/>
              </w:rPr>
            </w:pPr>
            <w:r>
              <w:rPr>
                <w:rFonts w:ascii="Arial" w:cs="Arial" w:eastAsia="Arial" w:hAnsi="Arial"/>
                <w:sz w:val="15"/>
                <w:szCs w:val="15"/>
                <w:color w:val="auto"/>
              </w:rPr>
              <w:t>The annual incentive compensation program is a performance-based plan that rewards</w:t>
            </w:r>
          </w:p>
        </w:tc>
      </w:tr>
      <w:tr>
        <w:trPr>
          <w:trHeight w:val="177"/>
        </w:trPr>
        <w:tc>
          <w:tcPr>
            <w:tcW w:w="2280" w:type="dxa"/>
            <w:vAlign w:val="bottom"/>
          </w:tcPr>
          <w:p>
            <w:pPr>
              <w:ind w:left="60"/>
              <w:spacing w:after="0"/>
              <w:rPr>
                <w:sz w:val="20"/>
                <w:szCs w:val="20"/>
                <w:color w:val="auto"/>
              </w:rPr>
            </w:pPr>
            <w:r>
              <w:rPr>
                <w:rFonts w:ascii="Arial" w:cs="Arial" w:eastAsia="Arial" w:hAnsi="Arial"/>
                <w:sz w:val="15"/>
                <w:szCs w:val="15"/>
                <w:b w:val="1"/>
                <w:bCs w:val="1"/>
                <w:color w:val="00304D"/>
              </w:rPr>
              <w:t>compensation</w:t>
            </w:r>
          </w:p>
        </w:tc>
        <w:tc>
          <w:tcPr>
            <w:tcW w:w="2520" w:type="dxa"/>
            <w:vAlign w:val="bottom"/>
          </w:tcPr>
          <w:p>
            <w:pPr>
              <w:spacing w:after="0"/>
              <w:rPr>
                <w:sz w:val="15"/>
                <w:szCs w:val="15"/>
                <w:color w:val="auto"/>
              </w:rPr>
            </w:pPr>
          </w:p>
        </w:tc>
        <w:tc>
          <w:tcPr>
            <w:tcW w:w="6440" w:type="dxa"/>
            <w:vAlign w:val="bottom"/>
          </w:tcPr>
          <w:p>
            <w:pPr>
              <w:ind w:left="160"/>
              <w:spacing w:after="0"/>
              <w:rPr>
                <w:sz w:val="20"/>
                <w:szCs w:val="20"/>
                <w:color w:val="auto"/>
              </w:rPr>
            </w:pPr>
            <w:r>
              <w:rPr>
                <w:rFonts w:ascii="Arial" w:cs="Arial" w:eastAsia="Arial" w:hAnsi="Arial"/>
                <w:sz w:val="15"/>
                <w:szCs w:val="15"/>
                <w:color w:val="auto"/>
              </w:rPr>
              <w:t>performance against goals for earnings before interest, taxes, depreciation, and amortization</w:t>
            </w:r>
          </w:p>
        </w:tc>
      </w:tr>
      <w:tr>
        <w:trPr>
          <w:trHeight w:val="177"/>
        </w:trPr>
        <w:tc>
          <w:tcPr>
            <w:tcW w:w="22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6440" w:type="dxa"/>
            <w:vAlign w:val="bottom"/>
          </w:tcPr>
          <w:p>
            <w:pPr>
              <w:ind w:left="160"/>
              <w:spacing w:after="0"/>
              <w:rPr>
                <w:sz w:val="20"/>
                <w:szCs w:val="20"/>
                <w:color w:val="auto"/>
              </w:rPr>
            </w:pPr>
            <w:r>
              <w:rPr>
                <w:rFonts w:ascii="Arial" w:cs="Arial" w:eastAsia="Arial" w:hAnsi="Arial"/>
                <w:sz w:val="15"/>
                <w:szCs w:val="15"/>
                <w:color w:val="auto"/>
              </w:rPr>
              <w:t>on an organic adjusted basis (“EBITDA”) in dollars (“EBITDA$”), and EBITDA as a</w:t>
            </w:r>
          </w:p>
        </w:tc>
      </w:tr>
      <w:tr>
        <w:trPr>
          <w:trHeight w:val="189"/>
        </w:trPr>
        <w:tc>
          <w:tcPr>
            <w:tcW w:w="2280" w:type="dxa"/>
            <w:vAlign w:val="bottom"/>
            <w:tcBorders>
              <w:bottom w:val="single" w:sz="8" w:color="002F4D"/>
            </w:tcBorders>
          </w:tcPr>
          <w:p>
            <w:pPr>
              <w:spacing w:after="0"/>
              <w:rPr>
                <w:sz w:val="16"/>
                <w:szCs w:val="16"/>
                <w:color w:val="auto"/>
              </w:rPr>
            </w:pPr>
          </w:p>
        </w:tc>
        <w:tc>
          <w:tcPr>
            <w:tcW w:w="2520" w:type="dxa"/>
            <w:vAlign w:val="bottom"/>
            <w:tcBorders>
              <w:bottom w:val="single" w:sz="8" w:color="002F4D"/>
            </w:tcBorders>
          </w:tcPr>
          <w:p>
            <w:pPr>
              <w:spacing w:after="0"/>
              <w:rPr>
                <w:sz w:val="16"/>
                <w:szCs w:val="16"/>
                <w:color w:val="auto"/>
              </w:rPr>
            </w:pPr>
          </w:p>
        </w:tc>
        <w:tc>
          <w:tcPr>
            <w:tcW w:w="6440" w:type="dxa"/>
            <w:vAlign w:val="bottom"/>
            <w:tcBorders>
              <w:bottom w:val="single" w:sz="8" w:color="002F4D"/>
            </w:tcBorders>
          </w:tcPr>
          <w:p>
            <w:pPr>
              <w:ind w:left="160"/>
              <w:spacing w:after="0"/>
              <w:rPr>
                <w:sz w:val="20"/>
                <w:szCs w:val="20"/>
                <w:color w:val="auto"/>
              </w:rPr>
            </w:pPr>
            <w:r>
              <w:rPr>
                <w:rFonts w:ascii="Arial" w:cs="Arial" w:eastAsia="Arial" w:hAnsi="Arial"/>
                <w:sz w:val="15"/>
                <w:szCs w:val="15"/>
                <w:color w:val="auto"/>
              </w:rPr>
              <w:t>percentage of total revenue (“EBITDA%”).</w:t>
            </w:r>
          </w:p>
        </w:tc>
      </w:tr>
      <w:tr>
        <w:trPr>
          <w:trHeight w:val="157"/>
        </w:trPr>
        <w:tc>
          <w:tcPr>
            <w:tcW w:w="2280" w:type="dxa"/>
            <w:vAlign w:val="bottom"/>
          </w:tcPr>
          <w:p>
            <w:pPr>
              <w:ind w:left="60"/>
              <w:spacing w:after="0" w:line="157" w:lineRule="exact"/>
              <w:rPr>
                <w:sz w:val="20"/>
                <w:szCs w:val="20"/>
                <w:color w:val="auto"/>
              </w:rPr>
            </w:pPr>
            <w:r>
              <w:rPr>
                <w:rFonts w:ascii="Arial" w:cs="Arial" w:eastAsia="Arial" w:hAnsi="Arial"/>
                <w:sz w:val="15"/>
                <w:szCs w:val="15"/>
                <w:b w:val="1"/>
                <w:bCs w:val="1"/>
                <w:color w:val="00304D"/>
              </w:rPr>
              <w:t>Long-term equity incentives</w:t>
            </w:r>
          </w:p>
        </w:tc>
        <w:tc>
          <w:tcPr>
            <w:tcW w:w="2520" w:type="dxa"/>
            <w:vAlign w:val="bottom"/>
          </w:tcPr>
          <w:p>
            <w:pPr>
              <w:ind w:left="200"/>
              <w:spacing w:after="0" w:line="157" w:lineRule="exact"/>
              <w:rPr>
                <w:sz w:val="20"/>
                <w:szCs w:val="20"/>
                <w:color w:val="auto"/>
              </w:rPr>
            </w:pPr>
            <w:r>
              <w:rPr>
                <w:rFonts w:ascii="Arial" w:cs="Arial" w:eastAsia="Arial" w:hAnsi="Arial"/>
                <w:sz w:val="15"/>
                <w:szCs w:val="15"/>
                <w:color w:val="auto"/>
              </w:rPr>
              <w:t>2/3 performance-based</w:t>
            </w:r>
          </w:p>
        </w:tc>
        <w:tc>
          <w:tcPr>
            <w:tcW w:w="6440" w:type="dxa"/>
            <w:vAlign w:val="bottom"/>
          </w:tcPr>
          <w:p>
            <w:pPr>
              <w:ind w:left="160"/>
              <w:spacing w:after="0" w:line="157" w:lineRule="exact"/>
              <w:rPr>
                <w:sz w:val="20"/>
                <w:szCs w:val="20"/>
                <w:color w:val="auto"/>
              </w:rPr>
            </w:pPr>
            <w:r>
              <w:rPr>
                <w:rFonts w:ascii="Arial" w:cs="Arial" w:eastAsia="Arial" w:hAnsi="Arial"/>
                <w:sz w:val="15"/>
                <w:szCs w:val="15"/>
                <w:color w:val="auto"/>
              </w:rPr>
              <w:t>The 2025 awards of PSUs will cliff vest, to the extent earned, at the end of a three-year</w:t>
            </w:r>
          </w:p>
        </w:tc>
      </w:tr>
      <w:tr>
        <w:trPr>
          <w:trHeight w:val="177"/>
        </w:trPr>
        <w:tc>
          <w:tcPr>
            <w:tcW w:w="2280" w:type="dxa"/>
            <w:vAlign w:val="bottom"/>
          </w:tcPr>
          <w:p>
            <w:pPr>
              <w:spacing w:after="0"/>
              <w:rPr>
                <w:sz w:val="15"/>
                <w:szCs w:val="15"/>
                <w:color w:val="auto"/>
              </w:rPr>
            </w:pPr>
          </w:p>
        </w:tc>
        <w:tc>
          <w:tcPr>
            <w:tcW w:w="2520" w:type="dxa"/>
            <w:vAlign w:val="bottom"/>
          </w:tcPr>
          <w:p>
            <w:pPr>
              <w:ind w:left="200"/>
              <w:spacing w:after="0"/>
              <w:rPr>
                <w:sz w:val="20"/>
                <w:szCs w:val="20"/>
                <w:color w:val="auto"/>
              </w:rPr>
            </w:pPr>
            <w:r>
              <w:rPr>
                <w:rFonts w:ascii="Arial" w:cs="Arial" w:eastAsia="Arial" w:hAnsi="Arial"/>
                <w:sz w:val="15"/>
                <w:szCs w:val="15"/>
                <w:color w:val="auto"/>
              </w:rPr>
              <w:t>performance stock units (PSUs)</w:t>
            </w:r>
          </w:p>
        </w:tc>
        <w:tc>
          <w:tcPr>
            <w:tcW w:w="6440" w:type="dxa"/>
            <w:vAlign w:val="bottom"/>
          </w:tcPr>
          <w:p>
            <w:pPr>
              <w:ind w:left="160"/>
              <w:spacing w:after="0"/>
              <w:rPr>
                <w:sz w:val="20"/>
                <w:szCs w:val="20"/>
                <w:color w:val="auto"/>
              </w:rPr>
            </w:pPr>
            <w:r>
              <w:rPr>
                <w:rFonts w:ascii="Arial" w:cs="Arial" w:eastAsia="Arial" w:hAnsi="Arial"/>
                <w:sz w:val="15"/>
                <w:szCs w:val="15"/>
                <w:color w:val="auto"/>
              </w:rPr>
              <w:t>performance period based on continued employment and performance against goals for</w:t>
            </w:r>
          </w:p>
        </w:tc>
      </w:tr>
      <w:tr>
        <w:trPr>
          <w:trHeight w:val="177"/>
        </w:trPr>
        <w:tc>
          <w:tcPr>
            <w:tcW w:w="22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6440" w:type="dxa"/>
            <w:vAlign w:val="bottom"/>
          </w:tcPr>
          <w:p>
            <w:pPr>
              <w:ind w:left="160"/>
              <w:spacing w:after="0"/>
              <w:rPr>
                <w:sz w:val="20"/>
                <w:szCs w:val="20"/>
                <w:color w:val="auto"/>
              </w:rPr>
            </w:pPr>
            <w:r>
              <w:rPr>
                <w:rFonts w:ascii="Arial" w:cs="Arial" w:eastAsia="Arial" w:hAnsi="Arial"/>
                <w:sz w:val="15"/>
                <w:szCs w:val="15"/>
                <w:color w:val="auto"/>
              </w:rPr>
              <w:t>Adjusted EPS Growth (65%) and Return on Invested Capital (35%). Final awards may be</w:t>
            </w:r>
          </w:p>
        </w:tc>
      </w:tr>
      <w:tr>
        <w:trPr>
          <w:trHeight w:val="189"/>
        </w:trPr>
        <w:tc>
          <w:tcPr>
            <w:tcW w:w="2280" w:type="dxa"/>
            <w:vAlign w:val="bottom"/>
            <w:tcBorders>
              <w:bottom w:val="single" w:sz="8" w:color="002F4D"/>
            </w:tcBorders>
          </w:tcPr>
          <w:p>
            <w:pPr>
              <w:spacing w:after="0"/>
              <w:rPr>
                <w:sz w:val="16"/>
                <w:szCs w:val="16"/>
                <w:color w:val="auto"/>
              </w:rPr>
            </w:pPr>
          </w:p>
        </w:tc>
        <w:tc>
          <w:tcPr>
            <w:tcW w:w="2520" w:type="dxa"/>
            <w:vAlign w:val="bottom"/>
            <w:tcBorders>
              <w:bottom w:val="single" w:sz="8" w:color="002F4D"/>
            </w:tcBorders>
          </w:tcPr>
          <w:p>
            <w:pPr>
              <w:spacing w:after="0"/>
              <w:rPr>
                <w:sz w:val="16"/>
                <w:szCs w:val="16"/>
                <w:color w:val="auto"/>
              </w:rPr>
            </w:pPr>
          </w:p>
        </w:tc>
        <w:tc>
          <w:tcPr>
            <w:tcW w:w="6440" w:type="dxa"/>
            <w:vAlign w:val="bottom"/>
            <w:tcBorders>
              <w:bottom w:val="single" w:sz="8" w:color="002F4D"/>
            </w:tcBorders>
          </w:tcPr>
          <w:p>
            <w:pPr>
              <w:ind w:left="160"/>
              <w:spacing w:after="0"/>
              <w:rPr>
                <w:sz w:val="20"/>
                <w:szCs w:val="20"/>
                <w:color w:val="auto"/>
              </w:rPr>
            </w:pPr>
            <w:r>
              <w:rPr>
                <w:rFonts w:ascii="Arial" w:cs="Arial" w:eastAsia="Arial" w:hAnsi="Arial"/>
                <w:sz w:val="15"/>
                <w:szCs w:val="15"/>
                <w:color w:val="auto"/>
              </w:rPr>
              <w:t>modified (+/- 30%) based on Middleby’s TSR compared to TSR for our peer group.</w:t>
            </w:r>
          </w:p>
        </w:tc>
      </w:tr>
      <w:tr>
        <w:trPr>
          <w:trHeight w:val="157"/>
        </w:trPr>
        <w:tc>
          <w:tcPr>
            <w:tcW w:w="2280" w:type="dxa"/>
            <w:vAlign w:val="bottom"/>
          </w:tcPr>
          <w:p>
            <w:pPr>
              <w:spacing w:after="0"/>
              <w:rPr>
                <w:sz w:val="13"/>
                <w:szCs w:val="13"/>
                <w:color w:val="auto"/>
              </w:rPr>
            </w:pPr>
          </w:p>
        </w:tc>
        <w:tc>
          <w:tcPr>
            <w:tcW w:w="2520" w:type="dxa"/>
            <w:vAlign w:val="bottom"/>
          </w:tcPr>
          <w:p>
            <w:pPr>
              <w:ind w:left="200"/>
              <w:spacing w:after="0" w:line="157" w:lineRule="exact"/>
              <w:rPr>
                <w:sz w:val="20"/>
                <w:szCs w:val="20"/>
                <w:color w:val="auto"/>
              </w:rPr>
            </w:pPr>
            <w:r>
              <w:rPr>
                <w:rFonts w:ascii="Arial" w:cs="Arial" w:eastAsia="Arial" w:hAnsi="Arial"/>
                <w:sz w:val="15"/>
                <w:szCs w:val="15"/>
                <w:color w:val="auto"/>
              </w:rPr>
              <w:t>1/3 time-based restricted stock</w:t>
            </w:r>
          </w:p>
        </w:tc>
        <w:tc>
          <w:tcPr>
            <w:tcW w:w="6440" w:type="dxa"/>
            <w:vAlign w:val="bottom"/>
          </w:tcPr>
          <w:p>
            <w:pPr>
              <w:ind w:left="160"/>
              <w:spacing w:after="0" w:line="157" w:lineRule="exact"/>
              <w:rPr>
                <w:sz w:val="20"/>
                <w:szCs w:val="20"/>
                <w:color w:val="auto"/>
              </w:rPr>
            </w:pPr>
            <w:r>
              <w:rPr>
                <w:rFonts w:ascii="Arial" w:cs="Arial" w:eastAsia="Arial" w:hAnsi="Arial"/>
                <w:sz w:val="15"/>
                <w:szCs w:val="15"/>
                <w:color w:val="auto"/>
              </w:rPr>
              <w:t>The RSUs will vest in three equal tranches in the March following each of the three fiscal</w:t>
            </w:r>
          </w:p>
        </w:tc>
      </w:tr>
      <w:tr>
        <w:trPr>
          <w:trHeight w:val="177"/>
        </w:trPr>
        <w:tc>
          <w:tcPr>
            <w:tcW w:w="2280" w:type="dxa"/>
            <w:vAlign w:val="bottom"/>
          </w:tcPr>
          <w:p>
            <w:pPr>
              <w:spacing w:after="0"/>
              <w:rPr>
                <w:sz w:val="15"/>
                <w:szCs w:val="15"/>
                <w:color w:val="auto"/>
              </w:rPr>
            </w:pPr>
          </w:p>
        </w:tc>
        <w:tc>
          <w:tcPr>
            <w:tcW w:w="2520" w:type="dxa"/>
            <w:vAlign w:val="bottom"/>
          </w:tcPr>
          <w:p>
            <w:pPr>
              <w:ind w:left="200"/>
              <w:spacing w:after="0"/>
              <w:rPr>
                <w:sz w:val="20"/>
                <w:szCs w:val="20"/>
                <w:color w:val="auto"/>
              </w:rPr>
            </w:pPr>
            <w:r>
              <w:rPr>
                <w:rFonts w:ascii="Arial" w:cs="Arial" w:eastAsia="Arial" w:hAnsi="Arial"/>
                <w:sz w:val="15"/>
                <w:szCs w:val="15"/>
                <w:color w:val="auto"/>
              </w:rPr>
              <w:t>units (RSUs)</w:t>
            </w:r>
          </w:p>
        </w:tc>
        <w:tc>
          <w:tcPr>
            <w:tcW w:w="6440" w:type="dxa"/>
            <w:vAlign w:val="bottom"/>
          </w:tcPr>
          <w:p>
            <w:pPr>
              <w:ind w:left="160"/>
              <w:spacing w:after="0"/>
              <w:rPr>
                <w:sz w:val="20"/>
                <w:szCs w:val="20"/>
                <w:color w:val="auto"/>
              </w:rPr>
            </w:pPr>
            <w:r>
              <w:rPr>
                <w:rFonts w:ascii="Arial" w:cs="Arial" w:eastAsia="Arial" w:hAnsi="Arial"/>
                <w:sz w:val="15"/>
                <w:szCs w:val="15"/>
                <w:color w:val="auto"/>
              </w:rPr>
              <w:t>years of the performance period for the PSUs awarded on the same date, subject to</w:t>
            </w:r>
          </w:p>
        </w:tc>
      </w:tr>
      <w:tr>
        <w:trPr>
          <w:trHeight w:val="177"/>
        </w:trPr>
        <w:tc>
          <w:tcPr>
            <w:tcW w:w="22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6440" w:type="dxa"/>
            <w:vAlign w:val="bottom"/>
          </w:tcPr>
          <w:p>
            <w:pPr>
              <w:ind w:left="160"/>
              <w:spacing w:after="0"/>
              <w:rPr>
                <w:sz w:val="20"/>
                <w:szCs w:val="20"/>
                <w:color w:val="auto"/>
              </w:rPr>
            </w:pPr>
            <w:r>
              <w:rPr>
                <w:rFonts w:ascii="Arial" w:cs="Arial" w:eastAsia="Arial" w:hAnsi="Arial"/>
                <w:sz w:val="15"/>
                <w:szCs w:val="15"/>
                <w:color w:val="auto"/>
              </w:rPr>
              <w:t>continued employment. Shares underlying the vested RSUs must be held until the end of the</w:t>
            </w:r>
          </w:p>
        </w:tc>
      </w:tr>
      <w:tr>
        <w:trPr>
          <w:trHeight w:val="194"/>
        </w:trPr>
        <w:tc>
          <w:tcPr>
            <w:tcW w:w="2280" w:type="dxa"/>
            <w:vAlign w:val="bottom"/>
            <w:tcBorders>
              <w:bottom w:val="single" w:sz="8" w:color="002F4D"/>
            </w:tcBorders>
          </w:tcPr>
          <w:p>
            <w:pPr>
              <w:spacing w:after="0"/>
              <w:rPr>
                <w:sz w:val="16"/>
                <w:szCs w:val="16"/>
                <w:color w:val="auto"/>
              </w:rPr>
            </w:pPr>
          </w:p>
        </w:tc>
        <w:tc>
          <w:tcPr>
            <w:tcW w:w="2520" w:type="dxa"/>
            <w:vAlign w:val="bottom"/>
            <w:tcBorders>
              <w:bottom w:val="single" w:sz="8" w:color="002F4D"/>
            </w:tcBorders>
          </w:tcPr>
          <w:p>
            <w:pPr>
              <w:spacing w:after="0"/>
              <w:rPr>
                <w:sz w:val="16"/>
                <w:szCs w:val="16"/>
                <w:color w:val="auto"/>
              </w:rPr>
            </w:pPr>
          </w:p>
        </w:tc>
        <w:tc>
          <w:tcPr>
            <w:tcW w:w="6440" w:type="dxa"/>
            <w:vAlign w:val="bottom"/>
            <w:tcBorders>
              <w:bottom w:val="single" w:sz="8" w:color="002F4D"/>
            </w:tcBorders>
          </w:tcPr>
          <w:p>
            <w:pPr>
              <w:ind w:left="160"/>
              <w:spacing w:after="0"/>
              <w:rPr>
                <w:sz w:val="20"/>
                <w:szCs w:val="20"/>
                <w:color w:val="auto"/>
              </w:rPr>
            </w:pPr>
            <w:r>
              <w:rPr>
                <w:rFonts w:ascii="Arial" w:cs="Arial" w:eastAsia="Arial" w:hAnsi="Arial"/>
                <w:sz w:val="15"/>
                <w:szCs w:val="15"/>
                <w:color w:val="auto"/>
              </w:rPr>
              <w:t>three fiscal year period to which they relate.</w:t>
            </w:r>
          </w:p>
        </w:tc>
      </w:tr>
    </w:tbl>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00304D"/>
        </w:rPr>
        <w:t>Stockholder Engagement Following the 2025 Annual Meeting</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We actively seek and consider stockholder feedback in designing and managing our executive compensation program, our corporate governance practices, and all other matters of interest to our stockholders. At the 2025 Annual Meeting, support for the Say on Pay proposal was approximately 95%. This level of support affirms our stockholders’ overall support for our compensation practices. In 2025, the Compensation Committee modified the long-term equity incentive program to include Adjusted EPS Growth, Return on Invested Capital, and retain TSR performance metrics, shifting away from our prior usage of an Enterprise Value Growth Per Share metric. The Compensation Committee made these modifications based on stockholder feedback as well as feedback from Company management and Aon, our independent compensation consultant.</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In 2025, the Company’s incorporation of stockholder feedback continued to be valuable to the Company and its stockholders. This year, we proactively engaged with our stockholders regarding executive compensation and other corporate governance matters throughout the year, as discussed further in “Governance—</w:t>
      </w:r>
      <w:r>
        <w:rPr>
          <w:rFonts w:ascii="Arial" w:cs="Arial" w:eastAsia="Arial" w:hAnsi="Arial"/>
          <w:sz w:val="15"/>
          <w:szCs w:val="15"/>
          <w:i w:val="1"/>
          <w:iCs w:val="1"/>
          <w:color w:val="auto"/>
        </w:rPr>
        <w:t>Stockholder</w:t>
      </w:r>
      <w:r>
        <w:rPr>
          <w:rFonts w:ascii="Arial" w:cs="Arial" w:eastAsia="Arial" w:hAnsi="Arial"/>
          <w:sz w:val="15"/>
          <w:szCs w:val="15"/>
          <w:color w:val="auto"/>
        </w:rPr>
        <w:t xml:space="preserve"> </w:t>
      </w:r>
      <w:r>
        <w:rPr>
          <w:rFonts w:ascii="Arial" w:cs="Arial" w:eastAsia="Arial" w:hAnsi="Arial"/>
          <w:sz w:val="15"/>
          <w:szCs w:val="15"/>
          <w:i w:val="1"/>
          <w:iCs w:val="1"/>
          <w:color w:val="auto"/>
        </w:rPr>
        <w:t>Engagement</w:t>
      </w:r>
      <w:r>
        <w:rPr>
          <w:rFonts w:ascii="Arial" w:cs="Arial" w:eastAsia="Arial" w:hAnsi="Arial"/>
          <w:sz w:val="15"/>
          <w:szCs w:val="15"/>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00304D"/>
        </w:rPr>
        <w:t>Compensation Objectives and Philosophy</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Company’s compensation and benefits programs are influenced by our business culture and are designed to maximize strategic Company goals. The objectives of our compensation program are described below.</w:t>
      </w:r>
    </w:p>
    <w:p>
      <w:pPr>
        <w:spacing w:after="0" w:line="125" w:lineRule="exact"/>
        <w:rPr>
          <w:sz w:val="20"/>
          <w:szCs w:val="20"/>
          <w:color w:val="auto"/>
        </w:rPr>
      </w:pPr>
    </w:p>
    <w:p>
      <w:pPr>
        <w:jc w:val="both"/>
        <w:spacing w:after="0" w:line="282" w:lineRule="auto"/>
        <w:rPr>
          <w:sz w:val="20"/>
          <w:szCs w:val="20"/>
          <w:color w:val="auto"/>
        </w:rPr>
      </w:pPr>
      <w:r>
        <w:rPr>
          <w:rFonts w:ascii="Arial" w:cs="Arial" w:eastAsia="Arial" w:hAnsi="Arial"/>
          <w:sz w:val="15"/>
          <w:szCs w:val="15"/>
          <w:b w:val="1"/>
          <w:bCs w:val="1"/>
          <w:color w:val="00304D"/>
        </w:rPr>
        <w:t>Attract and Retain Executive Talent</w:t>
      </w:r>
      <w:r>
        <w:rPr>
          <w:rFonts w:ascii="Arial" w:cs="Arial" w:eastAsia="Arial" w:hAnsi="Arial"/>
          <w:sz w:val="15"/>
          <w:szCs w:val="15"/>
          <w:color w:val="000000"/>
        </w:rPr>
        <w:t>—</w:t>
      </w:r>
      <w:r>
        <w:rPr>
          <w:rFonts w:ascii="Arial" w:cs="Arial" w:eastAsia="Arial" w:hAnsi="Arial"/>
          <w:sz w:val="15"/>
          <w:szCs w:val="15"/>
          <w:color w:val="00304D"/>
        </w:rPr>
        <w:t>The Company offers compensation packages that aim to attract and retain qualified executive talent and deliver increasing</w:t>
      </w:r>
      <w:r>
        <w:rPr>
          <w:rFonts w:ascii="Arial" w:cs="Arial" w:eastAsia="Arial" w:hAnsi="Arial"/>
          <w:sz w:val="15"/>
          <w:szCs w:val="15"/>
          <w:b w:val="1"/>
          <w:bCs w:val="1"/>
          <w:color w:val="00304D"/>
        </w:rPr>
        <w:t xml:space="preserve"> </w:t>
      </w:r>
      <w:r>
        <w:rPr>
          <w:rFonts w:ascii="Arial" w:cs="Arial" w:eastAsia="Arial" w:hAnsi="Arial"/>
          <w:sz w:val="15"/>
          <w:szCs w:val="15"/>
          <w:color w:val="00304D"/>
        </w:rPr>
        <w:t>rewards for extraordinary performance.</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b w:val="1"/>
          <w:bCs w:val="1"/>
          <w:color w:val="00304D"/>
        </w:rPr>
        <w:t>Link Executive Compensation with Financial and Operating Performance</w:t>
      </w:r>
      <w:r>
        <w:rPr>
          <w:rFonts w:ascii="Arial" w:cs="Arial" w:eastAsia="Arial" w:hAnsi="Arial"/>
          <w:sz w:val="15"/>
          <w:szCs w:val="15"/>
          <w:color w:val="000000"/>
        </w:rPr>
        <w:t>—The Compensation Committee structures a portion of the compensation for our Named</w:t>
      </w:r>
      <w:r>
        <w:rPr>
          <w:rFonts w:ascii="Arial" w:cs="Arial" w:eastAsia="Arial" w:hAnsi="Arial"/>
          <w:sz w:val="15"/>
          <w:szCs w:val="15"/>
          <w:b w:val="1"/>
          <w:bCs w:val="1"/>
          <w:color w:val="00304D"/>
        </w:rPr>
        <w:t xml:space="preserve"> </w:t>
      </w:r>
      <w:r>
        <w:rPr>
          <w:rFonts w:ascii="Arial" w:cs="Arial" w:eastAsia="Arial" w:hAnsi="Arial"/>
          <w:sz w:val="15"/>
          <w:szCs w:val="15"/>
          <w:color w:val="000000"/>
        </w:rPr>
        <w:t>Executive Officers and senior management to vary based on the Company’s financial and operating performance in order to drive a sustained increase in stockholder value. In a typical year, a significant portion of an executive’s annual compensation is at risk and linked to the achievement of corporate goals that are tailored to the Company’s strategic plan.</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5"/>
          <w:szCs w:val="15"/>
          <w:b w:val="1"/>
          <w:bCs w:val="1"/>
          <w:color w:val="00304D"/>
        </w:rPr>
        <w:t>Link Executive Equity Incentive Compensation with Stockholder Interests</w:t>
      </w:r>
      <w:r>
        <w:rPr>
          <w:rFonts w:ascii="Arial" w:cs="Arial" w:eastAsia="Arial" w:hAnsi="Arial"/>
          <w:sz w:val="15"/>
          <w:szCs w:val="15"/>
          <w:color w:val="000000"/>
        </w:rPr>
        <w:t>—Long-term equity incentive compensation granted to our Named Executive Officers in</w:t>
      </w:r>
      <w:r>
        <w:rPr>
          <w:rFonts w:ascii="Arial" w:cs="Arial" w:eastAsia="Arial" w:hAnsi="Arial"/>
          <w:sz w:val="15"/>
          <w:szCs w:val="15"/>
          <w:b w:val="1"/>
          <w:bCs w:val="1"/>
          <w:color w:val="00304D"/>
        </w:rPr>
        <w:t xml:space="preserve"> </w:t>
      </w:r>
      <w:r>
        <w:rPr>
          <w:rFonts w:ascii="Arial" w:cs="Arial" w:eastAsia="Arial" w:hAnsi="Arial"/>
          <w:sz w:val="15"/>
          <w:szCs w:val="15"/>
          <w:color w:val="000000"/>
        </w:rPr>
        <w:t>fiscal year 2025 was divided between performance-based (67%) and time-based restricted stock units (33%) (assuming target performance levels for the PSUs) to (i) align our Named Executive Officers’ interests with stockholder interests through the shared experience of stock ownership; (ii) tie performance goals and payouts directly to metrics that are critical drivers of financial and operational success, stockholder value creation, and strategic objectives; (iii) enhance the alignment between Company performance and executive pay by weighing the performance-based portion of LTI more heavily than time-based vesting, and (iv) include a time-based component that encourages executive retention and discourages excess risk-taking by executives.</w:t>
      </w:r>
    </w:p>
    <w:p>
      <w:pPr>
        <w:spacing w:after="0" w:line="146" w:lineRule="exact"/>
        <w:rPr>
          <w:sz w:val="20"/>
          <w:szCs w:val="20"/>
          <w:color w:val="auto"/>
        </w:rPr>
      </w:pPr>
    </w:p>
    <w:p>
      <w:pPr>
        <w:jc w:val="both"/>
        <w:spacing w:after="0" w:line="258" w:lineRule="auto"/>
        <w:rPr>
          <w:sz w:val="20"/>
          <w:szCs w:val="20"/>
          <w:color w:val="auto"/>
        </w:rPr>
      </w:pPr>
      <w:r>
        <w:rPr>
          <w:rFonts w:ascii="Arial" w:cs="Arial" w:eastAsia="Arial" w:hAnsi="Arial"/>
          <w:sz w:val="15"/>
          <w:szCs w:val="15"/>
          <w:b w:val="1"/>
          <w:bCs w:val="1"/>
          <w:color w:val="00304D"/>
        </w:rPr>
        <w:t>Facilitate a High-Growth Company Strategy</w:t>
      </w:r>
      <w:r>
        <w:rPr>
          <w:rFonts w:ascii="Arial" w:cs="Arial" w:eastAsia="Arial" w:hAnsi="Arial"/>
          <w:sz w:val="15"/>
          <w:szCs w:val="15"/>
          <w:color w:val="000000"/>
        </w:rPr>
        <w:t>—The Company provides incentive compensation that rewards executives for strong growth in earnings, which is</w:t>
      </w:r>
      <w:r>
        <w:rPr>
          <w:rFonts w:ascii="Arial" w:cs="Arial" w:eastAsia="Arial" w:hAnsi="Arial"/>
          <w:sz w:val="15"/>
          <w:szCs w:val="15"/>
          <w:b w:val="1"/>
          <w:bCs w:val="1"/>
          <w:color w:val="00304D"/>
        </w:rPr>
        <w:t xml:space="preserve"> </w:t>
      </w:r>
      <w:r>
        <w:rPr>
          <w:rFonts w:ascii="Arial" w:cs="Arial" w:eastAsia="Arial" w:hAnsi="Arial"/>
          <w:sz w:val="15"/>
          <w:szCs w:val="15"/>
          <w:color w:val="000000"/>
        </w:rPr>
        <w:t>expected to generate strong stockholder return. Performance goals are generally consistent with the Company’s performance expectations, but are tiered to help ensure that awards will increase when Middleby out-performs its performance targets. Likewise, our incentive compensation programs are designed to result in no payouts when Middleby underperforms threshold goals.</w:t>
      </w:r>
    </w:p>
    <w:p>
      <w:pPr>
        <w:spacing w:after="0" w:line="142" w:lineRule="exact"/>
        <w:rPr>
          <w:sz w:val="20"/>
          <w:szCs w:val="20"/>
          <w:color w:val="auto"/>
        </w:rPr>
      </w:pPr>
    </w:p>
    <w:p>
      <w:pPr>
        <w:ind w:left="8960"/>
        <w:spacing w:after="0"/>
        <w:tabs>
          <w:tab w:leader="none" w:pos="1106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00304D"/>
        </w:rPr>
        <w:t>Parties Involved in Compensation Decisions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5E7C"/>
        </w:rPr>
        <w:t>Role of the Compensation Committee</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Compensation Committee, consisting entirely of independent directors, is responsible for establishing, implementing, and monitoring the Company’s compensation program and providing input to the Board with respect to management development and succession planning.</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Compensation Committee evaluates the CEO’s performance and makes recommendations to the Board with respect to the CEO’s compensation based on this evaluation. The Compensation Committee also evaluates the other Named Executive Officers’ performance and, either as a committee or together with the other independent directors (as directed by the Board), determines and approves their compensation.</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5E7C"/>
        </w:rPr>
        <w:t>Role of the Compensation Committee’s Independent Compensation Consultant</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Compensation Committee has the power to retain independent compensation consultants, legal counsel, or other advisors as it may deem appropriate to assist it in the performance of its duties and responsibilities, without consulting or obtaining the approval of management. The Compensation Committee recognizes the importance of objective, independent expertise and advice in carrying out its responsibilities.</w:t>
      </w:r>
    </w:p>
    <w:p>
      <w:pPr>
        <w:spacing w:after="0" w:line="13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Since November 2017, the Compensation Committee has retained Aon’s Human Capital Solutions practice, a division of Aon plc (“Aon”), as its independent consultant. Aon reports directly to, and is directly accountable to, the Compensation Committee, and the Compensation Committee has the sole authority to retain, terminate, and obtain Aon’s advice at the Company’s expense. The Compensation Committee selected Aon as consultants because of Aon’s public company compensation experience, understanding of compensation governance and access to market competitive data.</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With Aon’s assistance, the Compensation Committee monitors market compensation practices and developments, as well as the appropriateness of the various components of Middleby’s executive pay program. The Compensation Committee believes that obtaining relevant market and benchmark data is very important because it provides helpful context and a solid reference point for making decisions. When making determinations about compensation for our executives, the Compensation Committee also considers corporate and individual performance, any shifts in the current or anticipated future duties and function of the executive officers, the competitive market for executive talent and the overall labor market, and the input of other directors who are not members of the Compensation Committee.</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In the past, the Compensation Committee has worked with Aon to: assess our executive compensation philosophy, objectives and components; develop a peer group of companies for compensation comparison purposes; review considerations and market practices related to the design of cash and equity incentive plans and trends in the capital goods industry; review our equity compensation strategy; and review director compensation market practices. For fiscal year 2025 specifically, Aon assisted the Compensation Committee with evaluating the appropriateness of the peer group for alignment with the Company’s strategy and business mix, providing CEO and NEO benchmark compensation data, designing our incentive plans, assessing the competitiveness of Board of Director compensation, and understanding developing compensation and governance trends. While the Compensation Committee takes into consideration the review and recommendations of Aon when making decisions about the Company’s executive compensation program, ultimately the Compensation Committee makes its own independent decisions about compensation matters.</w:t>
      </w:r>
    </w:p>
    <w:p>
      <w:pPr>
        <w:spacing w:after="0" w:line="146"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Compensation Committee has assessed the independence of Aon pursuant to SEC and Nasdaq rules, considering each of the relevant factors with respect to a compensation consultant’s independence. The Compensation Committee also considered the nature and amount of work performed for the Compensation Committee and the fees paid for those services in relation to Aon’s total revenues. Aon provides no services to the Company other than its services to the Compensation Committee, has no other ties to management that could jeopardize its fully independent status, and has strong internal governance policies that help ensure it maintains its independence. Aon has conducted a review of its performance, and has prepared an independence letter for the Compensation Committee that provides assurances and confirmation of the consultant’s independent status under the standards. None of the Compensation Committee members and none of our executive officers or directors have any personal relationship or other conflicts of interest with Aon.</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5E7C"/>
        </w:rPr>
        <w:t>Role of the CEO</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CEO annually reviews the performance of each executive officer other than himself. For each such executive, this review includes an analysis of actual operating performance versus pre-determined operating performance targets, measures taken to improve efficiency of operations within the executive’s area of responsibility, completion of special projects, and an assessment of the executive’s commitment to the Company’s core operating principles. Based on his review, the CEO develops a recommendation to the Compensation Committee for each executive’s annual base salary, annual incentive plan opportunity and the basis for long-term equity-based grants.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The Compensation Committee uses the same methodology to establish the compensation package for the CEO.</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5E7C"/>
        </w:rPr>
        <w:t>Market Factors in Setting Compensation</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Compensation Committee uses comparative compensation information from a relevant group of peer companies as one of several points of reference when setting the compensation of our CEO and other NEOs. The Compensation Committee considers data from the companies in the peer group to compare total compensation and individual compensation elements for our CEO and other NEOs with compensation for officers in comparable positions. The Compensation Committee retains discretion in determining how it will use peer group data. The Committee typically reviews peer company compensation data on an annual basis.</w:t>
      </w:r>
    </w:p>
    <w:p>
      <w:pPr>
        <w:spacing w:after="0" w:line="14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36" w:name="page37"/>
    <w:bookmarkEnd w:id="36"/>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In the fourth quarter of 2024, with Aon’s assistance, the Compensation Committee reviewed the peer group used to benchmark compensation levels and practices. In reviewing the peer group, the Committee considered the following criteria: revenue, market capitalization, EBITDA, industry, brand leadership, and international scope. Based on an assessment of the peer group by the Compensation Committee in light of the factors noted above, the Committee determined to add the following companies to the 2025 peer group (“Peer Group”): Fortune Brands Innovations, Owens Corning and Resideo Technologies. The 2025 Peer Group is summarized below:</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40" w:type="dxa"/>
            <w:vAlign w:val="bottom"/>
            <w:tcBorders>
              <w:top w:val="single" w:sz="8" w:color="002F4D"/>
              <w:bottom w:val="single" w:sz="8" w:color="002F4D"/>
            </w:tcBorders>
          </w:tcPr>
          <w:p>
            <w:pPr>
              <w:ind w:left="60"/>
              <w:spacing w:after="0"/>
              <w:rPr>
                <w:sz w:val="20"/>
                <w:szCs w:val="20"/>
                <w:color w:val="auto"/>
              </w:rPr>
            </w:pPr>
            <w:r>
              <w:rPr>
                <w:rFonts w:ascii="Arial" w:cs="Arial" w:eastAsia="Arial" w:hAnsi="Arial"/>
                <w:sz w:val="15"/>
                <w:szCs w:val="15"/>
                <w:color w:val="auto"/>
              </w:rPr>
              <w:t>AMETEK, Inc.</w:t>
            </w:r>
          </w:p>
        </w:tc>
        <w:tc>
          <w:tcPr>
            <w:tcW w:w="7300" w:type="dxa"/>
            <w:vAlign w:val="bottom"/>
            <w:tcBorders>
              <w:top w:val="single" w:sz="8" w:color="002F4D"/>
              <w:bottom w:val="single" w:sz="8" w:color="002F4D"/>
            </w:tcBorders>
          </w:tcPr>
          <w:p>
            <w:pPr>
              <w:ind w:left="1700"/>
              <w:spacing w:after="0"/>
              <w:rPr>
                <w:sz w:val="20"/>
                <w:szCs w:val="20"/>
                <w:color w:val="auto"/>
              </w:rPr>
            </w:pPr>
            <w:r>
              <w:rPr>
                <w:rFonts w:ascii="Arial" w:cs="Arial" w:eastAsia="Arial" w:hAnsi="Arial"/>
                <w:sz w:val="15"/>
                <w:szCs w:val="15"/>
                <w:color w:val="auto"/>
              </w:rPr>
              <w:t>John Bean Technologies Corporation</w:t>
            </w:r>
          </w:p>
        </w:tc>
      </w:tr>
      <w:tr>
        <w:trPr>
          <w:trHeight w:val="169"/>
        </w:trPr>
        <w:tc>
          <w:tcPr>
            <w:tcW w:w="394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color w:val="auto"/>
              </w:rPr>
              <w:t>Carlisle Companies Incorporated</w:t>
            </w:r>
          </w:p>
        </w:tc>
        <w:tc>
          <w:tcPr>
            <w:tcW w:w="7300" w:type="dxa"/>
            <w:vAlign w:val="bottom"/>
            <w:tcBorders>
              <w:bottom w:val="single" w:sz="8" w:color="002F4D"/>
            </w:tcBorders>
          </w:tcPr>
          <w:p>
            <w:pPr>
              <w:ind w:left="1700"/>
              <w:spacing w:after="0" w:line="169" w:lineRule="exact"/>
              <w:rPr>
                <w:sz w:val="20"/>
                <w:szCs w:val="20"/>
                <w:color w:val="auto"/>
              </w:rPr>
            </w:pPr>
            <w:r>
              <w:rPr>
                <w:rFonts w:ascii="Arial" w:cs="Arial" w:eastAsia="Arial" w:hAnsi="Arial"/>
                <w:sz w:val="15"/>
                <w:szCs w:val="15"/>
                <w:color w:val="auto"/>
              </w:rPr>
              <w:t>Lincoln Electric Holdings, Inc.</w:t>
            </w:r>
          </w:p>
        </w:tc>
      </w:tr>
      <w:tr>
        <w:trPr>
          <w:trHeight w:val="169"/>
        </w:trPr>
        <w:tc>
          <w:tcPr>
            <w:tcW w:w="394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color w:val="auto"/>
              </w:rPr>
              <w:t>Crane Co.</w:t>
            </w:r>
          </w:p>
        </w:tc>
        <w:tc>
          <w:tcPr>
            <w:tcW w:w="7300" w:type="dxa"/>
            <w:vAlign w:val="bottom"/>
            <w:tcBorders>
              <w:bottom w:val="single" w:sz="8" w:color="002F4D"/>
            </w:tcBorders>
          </w:tcPr>
          <w:p>
            <w:pPr>
              <w:ind w:left="1700"/>
              <w:spacing w:after="0" w:line="169" w:lineRule="exact"/>
              <w:rPr>
                <w:sz w:val="20"/>
                <w:szCs w:val="20"/>
                <w:color w:val="auto"/>
              </w:rPr>
            </w:pPr>
            <w:r>
              <w:rPr>
                <w:rFonts w:ascii="Arial" w:cs="Arial" w:eastAsia="Arial" w:hAnsi="Arial"/>
                <w:sz w:val="15"/>
                <w:szCs w:val="15"/>
                <w:color w:val="auto"/>
              </w:rPr>
              <w:t>Nordson Corporation</w:t>
            </w:r>
          </w:p>
        </w:tc>
      </w:tr>
      <w:tr>
        <w:trPr>
          <w:trHeight w:val="169"/>
        </w:trPr>
        <w:tc>
          <w:tcPr>
            <w:tcW w:w="394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color w:val="auto"/>
              </w:rPr>
              <w:t>Dover Corporation</w:t>
            </w:r>
          </w:p>
        </w:tc>
        <w:tc>
          <w:tcPr>
            <w:tcW w:w="7300" w:type="dxa"/>
            <w:vAlign w:val="bottom"/>
            <w:tcBorders>
              <w:bottom w:val="single" w:sz="8" w:color="002F4D"/>
            </w:tcBorders>
          </w:tcPr>
          <w:p>
            <w:pPr>
              <w:ind w:left="1700"/>
              <w:spacing w:after="0" w:line="169" w:lineRule="exact"/>
              <w:rPr>
                <w:sz w:val="20"/>
                <w:szCs w:val="20"/>
                <w:color w:val="auto"/>
              </w:rPr>
            </w:pPr>
            <w:r>
              <w:rPr>
                <w:rFonts w:ascii="Arial" w:cs="Arial" w:eastAsia="Arial" w:hAnsi="Arial"/>
                <w:sz w:val="15"/>
                <w:szCs w:val="15"/>
                <w:color w:val="auto"/>
              </w:rPr>
              <w:t>Owens Corning</w:t>
            </w:r>
          </w:p>
        </w:tc>
      </w:tr>
      <w:tr>
        <w:trPr>
          <w:trHeight w:val="169"/>
        </w:trPr>
        <w:tc>
          <w:tcPr>
            <w:tcW w:w="394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color w:val="auto"/>
              </w:rPr>
              <w:t>Flowserve Corporation</w:t>
            </w:r>
          </w:p>
        </w:tc>
        <w:tc>
          <w:tcPr>
            <w:tcW w:w="7300" w:type="dxa"/>
            <w:vAlign w:val="bottom"/>
            <w:tcBorders>
              <w:bottom w:val="single" w:sz="8" w:color="002F4D"/>
            </w:tcBorders>
          </w:tcPr>
          <w:p>
            <w:pPr>
              <w:ind w:left="1700"/>
              <w:spacing w:after="0" w:line="169" w:lineRule="exact"/>
              <w:rPr>
                <w:sz w:val="20"/>
                <w:szCs w:val="20"/>
                <w:color w:val="auto"/>
              </w:rPr>
            </w:pPr>
            <w:r>
              <w:rPr>
                <w:rFonts w:ascii="Arial" w:cs="Arial" w:eastAsia="Arial" w:hAnsi="Arial"/>
                <w:sz w:val="15"/>
                <w:szCs w:val="15"/>
                <w:color w:val="auto"/>
              </w:rPr>
              <w:t>Pentair plc</w:t>
            </w:r>
          </w:p>
        </w:tc>
      </w:tr>
      <w:tr>
        <w:trPr>
          <w:trHeight w:val="169"/>
        </w:trPr>
        <w:tc>
          <w:tcPr>
            <w:tcW w:w="394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color w:val="auto"/>
              </w:rPr>
              <w:t>Fortune Brands Innovations</w:t>
            </w:r>
          </w:p>
        </w:tc>
        <w:tc>
          <w:tcPr>
            <w:tcW w:w="7300" w:type="dxa"/>
            <w:vAlign w:val="bottom"/>
            <w:tcBorders>
              <w:bottom w:val="single" w:sz="8" w:color="002F4D"/>
            </w:tcBorders>
          </w:tcPr>
          <w:p>
            <w:pPr>
              <w:ind w:left="1700"/>
              <w:spacing w:after="0" w:line="169" w:lineRule="exact"/>
              <w:rPr>
                <w:sz w:val="20"/>
                <w:szCs w:val="20"/>
                <w:color w:val="auto"/>
              </w:rPr>
            </w:pPr>
            <w:r>
              <w:rPr>
                <w:rFonts w:ascii="Arial" w:cs="Arial" w:eastAsia="Arial" w:hAnsi="Arial"/>
                <w:sz w:val="15"/>
                <w:szCs w:val="15"/>
                <w:color w:val="auto"/>
              </w:rPr>
              <w:t>Regal Rexnord Corporation</w:t>
            </w:r>
          </w:p>
        </w:tc>
      </w:tr>
      <w:tr>
        <w:trPr>
          <w:trHeight w:val="169"/>
        </w:trPr>
        <w:tc>
          <w:tcPr>
            <w:tcW w:w="394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color w:val="auto"/>
              </w:rPr>
              <w:t>Graco Inc.</w:t>
            </w:r>
          </w:p>
        </w:tc>
        <w:tc>
          <w:tcPr>
            <w:tcW w:w="7300" w:type="dxa"/>
            <w:vAlign w:val="bottom"/>
            <w:tcBorders>
              <w:bottom w:val="single" w:sz="8" w:color="002F4D"/>
            </w:tcBorders>
          </w:tcPr>
          <w:p>
            <w:pPr>
              <w:ind w:left="1700"/>
              <w:spacing w:after="0" w:line="169" w:lineRule="exact"/>
              <w:rPr>
                <w:sz w:val="20"/>
                <w:szCs w:val="20"/>
                <w:color w:val="auto"/>
              </w:rPr>
            </w:pPr>
            <w:r>
              <w:rPr>
                <w:rFonts w:ascii="Arial" w:cs="Arial" w:eastAsia="Arial" w:hAnsi="Arial"/>
                <w:sz w:val="15"/>
                <w:szCs w:val="15"/>
                <w:color w:val="auto"/>
              </w:rPr>
              <w:t>Resideo Technologies</w:t>
            </w:r>
          </w:p>
        </w:tc>
      </w:tr>
      <w:tr>
        <w:trPr>
          <w:trHeight w:val="169"/>
        </w:trPr>
        <w:tc>
          <w:tcPr>
            <w:tcW w:w="394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color w:val="auto"/>
              </w:rPr>
              <w:t>Helen of Troy Limited</w:t>
            </w:r>
          </w:p>
        </w:tc>
        <w:tc>
          <w:tcPr>
            <w:tcW w:w="7300" w:type="dxa"/>
            <w:vAlign w:val="bottom"/>
            <w:tcBorders>
              <w:bottom w:val="single" w:sz="8" w:color="002F4D"/>
            </w:tcBorders>
          </w:tcPr>
          <w:p>
            <w:pPr>
              <w:ind w:left="1700"/>
              <w:spacing w:after="0" w:line="169" w:lineRule="exact"/>
              <w:rPr>
                <w:sz w:val="20"/>
                <w:szCs w:val="20"/>
                <w:color w:val="auto"/>
              </w:rPr>
            </w:pPr>
            <w:r>
              <w:rPr>
                <w:rFonts w:ascii="Arial" w:cs="Arial" w:eastAsia="Arial" w:hAnsi="Arial"/>
                <w:sz w:val="15"/>
                <w:szCs w:val="15"/>
                <w:color w:val="auto"/>
              </w:rPr>
              <w:t>Rockwell Automation, Inc.</w:t>
            </w:r>
          </w:p>
        </w:tc>
      </w:tr>
      <w:tr>
        <w:trPr>
          <w:trHeight w:val="169"/>
        </w:trPr>
        <w:tc>
          <w:tcPr>
            <w:tcW w:w="394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color w:val="auto"/>
              </w:rPr>
              <w:t>Hubbell Incorporated</w:t>
            </w:r>
          </w:p>
        </w:tc>
        <w:tc>
          <w:tcPr>
            <w:tcW w:w="7300" w:type="dxa"/>
            <w:vAlign w:val="bottom"/>
            <w:tcBorders>
              <w:bottom w:val="single" w:sz="8" w:color="002F4D"/>
            </w:tcBorders>
          </w:tcPr>
          <w:p>
            <w:pPr>
              <w:ind w:left="1700"/>
              <w:spacing w:after="0" w:line="169" w:lineRule="exact"/>
              <w:rPr>
                <w:sz w:val="20"/>
                <w:szCs w:val="20"/>
                <w:color w:val="auto"/>
              </w:rPr>
            </w:pPr>
            <w:r>
              <w:rPr>
                <w:rFonts w:ascii="Arial" w:cs="Arial" w:eastAsia="Arial" w:hAnsi="Arial"/>
                <w:sz w:val="15"/>
                <w:szCs w:val="15"/>
                <w:color w:val="auto"/>
              </w:rPr>
              <w:t>Snap-on Incorporated</w:t>
            </w:r>
          </w:p>
        </w:tc>
      </w:tr>
      <w:tr>
        <w:trPr>
          <w:trHeight w:val="169"/>
        </w:trPr>
        <w:tc>
          <w:tcPr>
            <w:tcW w:w="394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color w:val="auto"/>
              </w:rPr>
              <w:t>IDEX Corporation</w:t>
            </w:r>
          </w:p>
        </w:tc>
        <w:tc>
          <w:tcPr>
            <w:tcW w:w="7300" w:type="dxa"/>
            <w:vAlign w:val="bottom"/>
            <w:tcBorders>
              <w:bottom w:val="single" w:sz="8" w:color="002F4D"/>
            </w:tcBorders>
          </w:tcPr>
          <w:p>
            <w:pPr>
              <w:ind w:left="1700"/>
              <w:spacing w:after="0" w:line="169" w:lineRule="exact"/>
              <w:rPr>
                <w:sz w:val="20"/>
                <w:szCs w:val="20"/>
                <w:color w:val="auto"/>
              </w:rPr>
            </w:pPr>
            <w:r>
              <w:rPr>
                <w:rFonts w:ascii="Arial" w:cs="Arial" w:eastAsia="Arial" w:hAnsi="Arial"/>
                <w:sz w:val="15"/>
                <w:szCs w:val="15"/>
                <w:color w:val="auto"/>
              </w:rPr>
              <w:t>The Timken Company</w:t>
            </w:r>
          </w:p>
        </w:tc>
      </w:tr>
      <w:tr>
        <w:trPr>
          <w:trHeight w:val="169"/>
        </w:trPr>
        <w:tc>
          <w:tcPr>
            <w:tcW w:w="394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color w:val="auto"/>
              </w:rPr>
              <w:t>Ingersoll Rand Inc.</w:t>
            </w:r>
          </w:p>
        </w:tc>
        <w:tc>
          <w:tcPr>
            <w:tcW w:w="7300" w:type="dxa"/>
            <w:vAlign w:val="bottom"/>
            <w:tcBorders>
              <w:bottom w:val="single" w:sz="8" w:color="002F4D"/>
            </w:tcBorders>
          </w:tcPr>
          <w:p>
            <w:pPr>
              <w:ind w:left="1700"/>
              <w:spacing w:after="0" w:line="169" w:lineRule="exact"/>
              <w:rPr>
                <w:sz w:val="20"/>
                <w:szCs w:val="20"/>
                <w:color w:val="auto"/>
              </w:rPr>
            </w:pPr>
            <w:r>
              <w:rPr>
                <w:rFonts w:ascii="Arial" w:cs="Arial" w:eastAsia="Arial" w:hAnsi="Arial"/>
                <w:sz w:val="15"/>
                <w:szCs w:val="15"/>
                <w:color w:val="auto"/>
              </w:rPr>
              <w:t>Woodward, Inc.</w:t>
            </w:r>
          </w:p>
        </w:tc>
      </w:tr>
      <w:tr>
        <w:trPr>
          <w:trHeight w:val="175"/>
        </w:trPr>
        <w:tc>
          <w:tcPr>
            <w:tcW w:w="394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color w:val="auto"/>
              </w:rPr>
              <w:t>ITT Inc.</w:t>
            </w:r>
          </w:p>
        </w:tc>
        <w:tc>
          <w:tcPr>
            <w:tcW w:w="7300" w:type="dxa"/>
            <w:vAlign w:val="bottom"/>
            <w:tcBorders>
              <w:bottom w:val="single" w:sz="8" w:color="002F4D"/>
            </w:tcBorders>
          </w:tcPr>
          <w:p>
            <w:pPr>
              <w:ind w:left="1700"/>
              <w:spacing w:after="0" w:line="169" w:lineRule="exact"/>
              <w:rPr>
                <w:sz w:val="20"/>
                <w:szCs w:val="20"/>
                <w:color w:val="auto"/>
              </w:rPr>
            </w:pPr>
            <w:r>
              <w:rPr>
                <w:rFonts w:ascii="Arial" w:cs="Arial" w:eastAsia="Arial" w:hAnsi="Arial"/>
                <w:sz w:val="15"/>
                <w:szCs w:val="15"/>
                <w:color w:val="auto"/>
              </w:rPr>
              <w:t>Xylem Inc.</w:t>
            </w:r>
          </w:p>
        </w:tc>
      </w:tr>
    </w:tbl>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At the time the 2025 Peer Group was determined in 2024, Middleby was positioned slightly below the median based on trailing twelve months EBITDA and slightly below the median based on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86995</wp:posOffset>
            </wp:positionV>
            <wp:extent cx="6171565" cy="1162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171565" cy="1162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For fiscal year 2025 compensation purposes, Aon presented the Compensation Committee with data regarding compensation for the NEOs. Aon collected this information from the Peer Group.</w:t>
      </w:r>
    </w:p>
    <w:p>
      <w:pPr>
        <w:spacing w:after="0" w:line="124" w:lineRule="exact"/>
        <w:rPr>
          <w:sz w:val="20"/>
          <w:szCs w:val="20"/>
          <w:color w:val="auto"/>
        </w:rPr>
      </w:pPr>
    </w:p>
    <w:p>
      <w:pPr>
        <w:jc w:val="both"/>
        <w:spacing w:after="0" w:line="231" w:lineRule="auto"/>
        <w:rPr>
          <w:sz w:val="20"/>
          <w:szCs w:val="20"/>
          <w:color w:val="auto"/>
        </w:rPr>
      </w:pPr>
      <w:r>
        <w:rPr>
          <w:rFonts w:ascii="Arial" w:cs="Arial" w:eastAsia="Arial" w:hAnsi="Arial"/>
          <w:sz w:val="15"/>
          <w:szCs w:val="15"/>
          <w:color w:val="auto"/>
        </w:rPr>
        <w:t>Aon compiled compensation data at the 25</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 median, and 75</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 levels from the Peer Group, for base salaries, target annual cash incentive awards, target long-term equity awards, and total target direct compensation for individual executive officer positions. Using this data and considering the other factors described above under the heading “Role of the Compensation Committee’s Independent Compensation Consultant”, the Compensation Committee approved adjustments to 2025 compensation packages for our NEOs to maintain an appropriate level of total compensation in comparison to the market that is consistent with emphasizing pay for performance.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00304D"/>
        </w:rPr>
        <w:t>Fiscal Year 2025 Compensation Decisions</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Company’s compensation program is generally divided into three elements: base salary, annual cash incentive, and long-term equity-based incentive. We use the mix of these elements to emphasize pay for performance and to recognize the different value brought by individual jobs within the Company. For example, our CEO has the greatest responsibility for the operation and performance of the business and, accordingly, the most potential upside in compensation, but he also has the most compensation at risk, depending on Middleby’s financial performance.</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5E7C"/>
        </w:rPr>
        <w:t>Base Salary</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Base salary is fixed and provides some stable income since the other elements of our NEOs’ compensation packages are at significant risk. Annual base salary levels and any increases are budgeted based on the Company’s current business environment and the individual’s level of responsibility and merit within the Company.</w:t>
      </w:r>
    </w:p>
    <w:p>
      <w:pPr>
        <w:spacing w:after="0" w:line="12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base salary of our CEO, Mr. FitzGerald, has remained unchanged since his promotion to CEO in February 2019. For fiscal year 2025, the Compensation Committee approved increases to base salaries of our other NEOs in alignment with market compensation data provided by Aon. Among other factors, the Compensation Committee also recognized additional duties and responsibilities for each position, the importance of retaining key executive talent and the status of the labor market generally.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980" w:type="dxa"/>
            <w:vAlign w:val="bottom"/>
          </w:tcPr>
          <w:p>
            <w:pPr>
              <w:spacing w:after="0"/>
              <w:rPr>
                <w:sz w:val="15"/>
                <w:szCs w:val="15"/>
                <w:color w:val="auto"/>
              </w:rPr>
            </w:pPr>
          </w:p>
        </w:tc>
        <w:tc>
          <w:tcPr>
            <w:tcW w:w="2720" w:type="dxa"/>
            <w:vAlign w:val="bottom"/>
          </w:tcPr>
          <w:p>
            <w:pPr>
              <w:jc w:val="right"/>
              <w:ind w:right="284"/>
              <w:spacing w:after="0"/>
              <w:rPr>
                <w:sz w:val="20"/>
                <w:szCs w:val="20"/>
                <w:color w:val="auto"/>
              </w:rPr>
            </w:pPr>
            <w:r>
              <w:rPr>
                <w:rFonts w:ascii="Arial" w:cs="Arial" w:eastAsia="Arial" w:hAnsi="Arial"/>
                <w:sz w:val="15"/>
                <w:szCs w:val="15"/>
                <w:b w:val="1"/>
                <w:bCs w:val="1"/>
                <w:color w:val="00304D"/>
              </w:rPr>
              <w:t>2024 Base</w:t>
            </w:r>
          </w:p>
        </w:tc>
        <w:tc>
          <w:tcPr>
            <w:tcW w:w="1380" w:type="dxa"/>
            <w:vAlign w:val="bottom"/>
          </w:tcPr>
          <w:p>
            <w:pPr>
              <w:jc w:val="right"/>
              <w:ind w:right="204"/>
              <w:spacing w:after="0"/>
              <w:rPr>
                <w:sz w:val="20"/>
                <w:szCs w:val="20"/>
                <w:color w:val="auto"/>
              </w:rPr>
            </w:pPr>
            <w:r>
              <w:rPr>
                <w:rFonts w:ascii="Arial" w:cs="Arial" w:eastAsia="Arial" w:hAnsi="Arial"/>
                <w:sz w:val="15"/>
                <w:szCs w:val="15"/>
                <w:b w:val="1"/>
                <w:bCs w:val="1"/>
                <w:color w:val="00304D"/>
              </w:rPr>
              <w:t>2025 Base</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00304D"/>
              </w:rPr>
              <w:t>Percentage</w:t>
            </w:r>
          </w:p>
        </w:tc>
      </w:tr>
      <w:tr>
        <w:trPr>
          <w:trHeight w:val="189"/>
        </w:trPr>
        <w:tc>
          <w:tcPr>
            <w:tcW w:w="598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00304D"/>
              </w:rPr>
              <w:t>Named Executive Officer</w:t>
            </w:r>
          </w:p>
        </w:tc>
        <w:tc>
          <w:tcPr>
            <w:tcW w:w="2720" w:type="dxa"/>
            <w:vAlign w:val="bottom"/>
            <w:tcBorders>
              <w:bottom w:val="single" w:sz="8" w:color="002F4D"/>
            </w:tcBorders>
          </w:tcPr>
          <w:p>
            <w:pPr>
              <w:jc w:val="right"/>
              <w:ind w:right="284"/>
              <w:spacing w:after="0"/>
              <w:rPr>
                <w:sz w:val="20"/>
                <w:szCs w:val="20"/>
                <w:color w:val="auto"/>
              </w:rPr>
            </w:pPr>
            <w:r>
              <w:rPr>
                <w:rFonts w:ascii="Arial" w:cs="Arial" w:eastAsia="Arial" w:hAnsi="Arial"/>
                <w:sz w:val="15"/>
                <w:szCs w:val="15"/>
                <w:b w:val="1"/>
                <w:bCs w:val="1"/>
                <w:color w:val="00304D"/>
              </w:rPr>
              <w:t>Salary</w:t>
            </w:r>
          </w:p>
        </w:tc>
        <w:tc>
          <w:tcPr>
            <w:tcW w:w="1380" w:type="dxa"/>
            <w:vAlign w:val="bottom"/>
            <w:tcBorders>
              <w:bottom w:val="single" w:sz="8" w:color="002F4D"/>
            </w:tcBorders>
          </w:tcPr>
          <w:p>
            <w:pPr>
              <w:jc w:val="right"/>
              <w:ind w:right="204"/>
              <w:spacing w:after="0"/>
              <w:rPr>
                <w:sz w:val="20"/>
                <w:szCs w:val="20"/>
                <w:color w:val="auto"/>
              </w:rPr>
            </w:pPr>
            <w:r>
              <w:rPr>
                <w:rFonts w:ascii="Arial" w:cs="Arial" w:eastAsia="Arial" w:hAnsi="Arial"/>
                <w:sz w:val="15"/>
                <w:szCs w:val="15"/>
                <w:b w:val="1"/>
                <w:bCs w:val="1"/>
                <w:color w:val="00304D"/>
              </w:rPr>
              <w:t>Salary</w:t>
            </w:r>
          </w:p>
        </w:tc>
        <w:tc>
          <w:tcPr>
            <w:tcW w:w="1160" w:type="dxa"/>
            <w:vAlign w:val="bottom"/>
            <w:tcBorders>
              <w:bottom w:val="single" w:sz="8" w:color="002F4D"/>
            </w:tcBorders>
          </w:tcPr>
          <w:p>
            <w:pPr>
              <w:jc w:val="right"/>
              <w:spacing w:after="0"/>
              <w:rPr>
                <w:sz w:val="20"/>
                <w:szCs w:val="20"/>
                <w:color w:val="auto"/>
              </w:rPr>
            </w:pPr>
            <w:r>
              <w:rPr>
                <w:rFonts w:ascii="Arial" w:cs="Arial" w:eastAsia="Arial" w:hAnsi="Arial"/>
                <w:sz w:val="15"/>
                <w:szCs w:val="15"/>
                <w:b w:val="1"/>
                <w:bCs w:val="1"/>
                <w:color w:val="00304D"/>
              </w:rPr>
              <w:t>Change</w:t>
            </w:r>
          </w:p>
        </w:tc>
      </w:tr>
      <w:tr>
        <w:trPr>
          <w:trHeight w:val="169"/>
        </w:trPr>
        <w:tc>
          <w:tcPr>
            <w:tcW w:w="598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b w:val="1"/>
                <w:bCs w:val="1"/>
                <w:color w:val="auto"/>
              </w:rPr>
              <w:t>Timothy J. FitzGerald (CEO)</w:t>
            </w:r>
          </w:p>
        </w:tc>
        <w:tc>
          <w:tcPr>
            <w:tcW w:w="2720" w:type="dxa"/>
            <w:vAlign w:val="bottom"/>
            <w:tcBorders>
              <w:bottom w:val="single" w:sz="8" w:color="002F4D"/>
            </w:tcBorders>
          </w:tcPr>
          <w:p>
            <w:pPr>
              <w:jc w:val="right"/>
              <w:ind w:right="284"/>
              <w:spacing w:after="0" w:line="169" w:lineRule="exact"/>
              <w:rPr>
                <w:sz w:val="20"/>
                <w:szCs w:val="20"/>
                <w:color w:val="auto"/>
              </w:rPr>
            </w:pPr>
            <w:r>
              <w:rPr>
                <w:rFonts w:ascii="Arial" w:cs="Arial" w:eastAsia="Arial" w:hAnsi="Arial"/>
                <w:sz w:val="15"/>
                <w:szCs w:val="15"/>
                <w:color w:val="auto"/>
              </w:rPr>
              <w:t>$975,000</w:t>
            </w:r>
          </w:p>
        </w:tc>
        <w:tc>
          <w:tcPr>
            <w:tcW w:w="1380" w:type="dxa"/>
            <w:vAlign w:val="bottom"/>
            <w:tcBorders>
              <w:bottom w:val="single" w:sz="8" w:color="002F4D"/>
            </w:tcBorders>
          </w:tcPr>
          <w:p>
            <w:pPr>
              <w:jc w:val="right"/>
              <w:ind w:right="204"/>
              <w:spacing w:after="0" w:line="169" w:lineRule="exact"/>
              <w:rPr>
                <w:sz w:val="20"/>
                <w:szCs w:val="20"/>
                <w:color w:val="auto"/>
              </w:rPr>
            </w:pPr>
            <w:r>
              <w:rPr>
                <w:rFonts w:ascii="Arial" w:cs="Arial" w:eastAsia="Arial" w:hAnsi="Arial"/>
                <w:sz w:val="15"/>
                <w:szCs w:val="15"/>
                <w:color w:val="auto"/>
              </w:rPr>
              <w:t>$975,000</w:t>
            </w:r>
          </w:p>
        </w:tc>
        <w:tc>
          <w:tcPr>
            <w:tcW w:w="1160" w:type="dxa"/>
            <w:vAlign w:val="bottom"/>
            <w:tcBorders>
              <w:bottom w:val="single" w:sz="8" w:color="002F4D"/>
            </w:tcBorders>
          </w:tcPr>
          <w:p>
            <w:pPr>
              <w:jc w:val="right"/>
              <w:spacing w:after="0" w:line="169" w:lineRule="exact"/>
              <w:rPr>
                <w:sz w:val="20"/>
                <w:szCs w:val="20"/>
                <w:color w:val="auto"/>
              </w:rPr>
            </w:pPr>
            <w:r>
              <w:rPr>
                <w:rFonts w:ascii="Arial" w:cs="Arial" w:eastAsia="Arial" w:hAnsi="Arial"/>
                <w:sz w:val="15"/>
                <w:szCs w:val="15"/>
                <w:color w:val="auto"/>
              </w:rPr>
              <w:t>0%</w:t>
            </w:r>
          </w:p>
        </w:tc>
      </w:tr>
      <w:tr>
        <w:trPr>
          <w:trHeight w:val="169"/>
        </w:trPr>
        <w:tc>
          <w:tcPr>
            <w:tcW w:w="598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b w:val="1"/>
                <w:bCs w:val="1"/>
                <w:color w:val="auto"/>
              </w:rPr>
              <w:t>Bryan E. Mittelman (CFO)</w:t>
            </w:r>
          </w:p>
        </w:tc>
        <w:tc>
          <w:tcPr>
            <w:tcW w:w="2720" w:type="dxa"/>
            <w:vAlign w:val="bottom"/>
            <w:tcBorders>
              <w:bottom w:val="single" w:sz="8" w:color="002F4D"/>
            </w:tcBorders>
          </w:tcPr>
          <w:p>
            <w:pPr>
              <w:jc w:val="right"/>
              <w:ind w:right="284"/>
              <w:spacing w:after="0" w:line="169" w:lineRule="exact"/>
              <w:rPr>
                <w:sz w:val="20"/>
                <w:szCs w:val="20"/>
                <w:color w:val="auto"/>
              </w:rPr>
            </w:pPr>
            <w:r>
              <w:rPr>
                <w:rFonts w:ascii="Arial" w:cs="Arial" w:eastAsia="Arial" w:hAnsi="Arial"/>
                <w:sz w:val="15"/>
                <w:szCs w:val="15"/>
                <w:color w:val="auto"/>
              </w:rPr>
              <w:t>$550,000</w:t>
            </w:r>
          </w:p>
        </w:tc>
        <w:tc>
          <w:tcPr>
            <w:tcW w:w="1380" w:type="dxa"/>
            <w:vAlign w:val="bottom"/>
            <w:tcBorders>
              <w:bottom w:val="single" w:sz="8" w:color="002F4D"/>
            </w:tcBorders>
          </w:tcPr>
          <w:p>
            <w:pPr>
              <w:jc w:val="right"/>
              <w:ind w:right="204"/>
              <w:spacing w:after="0" w:line="169" w:lineRule="exact"/>
              <w:rPr>
                <w:sz w:val="20"/>
                <w:szCs w:val="20"/>
                <w:color w:val="auto"/>
              </w:rPr>
            </w:pPr>
            <w:r>
              <w:rPr>
                <w:rFonts w:ascii="Arial" w:cs="Arial" w:eastAsia="Arial" w:hAnsi="Arial"/>
                <w:sz w:val="15"/>
                <w:szCs w:val="15"/>
                <w:color w:val="auto"/>
              </w:rPr>
              <w:t>$566,500</w:t>
            </w:r>
          </w:p>
        </w:tc>
        <w:tc>
          <w:tcPr>
            <w:tcW w:w="1160" w:type="dxa"/>
            <w:vAlign w:val="bottom"/>
            <w:tcBorders>
              <w:bottom w:val="single" w:sz="8" w:color="002F4D"/>
            </w:tcBorders>
          </w:tcPr>
          <w:p>
            <w:pPr>
              <w:jc w:val="right"/>
              <w:spacing w:after="0" w:line="169" w:lineRule="exact"/>
              <w:rPr>
                <w:sz w:val="20"/>
                <w:szCs w:val="20"/>
                <w:color w:val="auto"/>
              </w:rPr>
            </w:pPr>
            <w:r>
              <w:rPr>
                <w:rFonts w:ascii="Arial" w:cs="Arial" w:eastAsia="Arial" w:hAnsi="Arial"/>
                <w:sz w:val="15"/>
                <w:szCs w:val="15"/>
                <w:color w:val="auto"/>
              </w:rPr>
              <w:t>3.00%</w:t>
            </w:r>
          </w:p>
        </w:tc>
      </w:tr>
      <w:tr>
        <w:trPr>
          <w:trHeight w:val="169"/>
        </w:trPr>
        <w:tc>
          <w:tcPr>
            <w:tcW w:w="598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b w:val="1"/>
                <w:bCs w:val="1"/>
                <w:color w:val="auto"/>
              </w:rPr>
              <w:t>James K. Pool III (Chief Technology and Operations Officer)</w:t>
            </w:r>
          </w:p>
        </w:tc>
        <w:tc>
          <w:tcPr>
            <w:tcW w:w="2720" w:type="dxa"/>
            <w:vAlign w:val="bottom"/>
            <w:tcBorders>
              <w:bottom w:val="single" w:sz="8" w:color="002F4D"/>
            </w:tcBorders>
          </w:tcPr>
          <w:p>
            <w:pPr>
              <w:jc w:val="right"/>
              <w:ind w:right="284"/>
              <w:spacing w:after="0" w:line="169" w:lineRule="exact"/>
              <w:rPr>
                <w:sz w:val="20"/>
                <w:szCs w:val="20"/>
                <w:color w:val="auto"/>
              </w:rPr>
            </w:pPr>
            <w:r>
              <w:rPr>
                <w:rFonts w:ascii="Arial" w:cs="Arial" w:eastAsia="Arial" w:hAnsi="Arial"/>
                <w:sz w:val="15"/>
                <w:szCs w:val="15"/>
                <w:color w:val="auto"/>
              </w:rPr>
              <w:t>$600,000</w:t>
            </w:r>
          </w:p>
        </w:tc>
        <w:tc>
          <w:tcPr>
            <w:tcW w:w="1380" w:type="dxa"/>
            <w:vAlign w:val="bottom"/>
            <w:tcBorders>
              <w:bottom w:val="single" w:sz="8" w:color="002F4D"/>
            </w:tcBorders>
          </w:tcPr>
          <w:p>
            <w:pPr>
              <w:jc w:val="right"/>
              <w:ind w:right="204"/>
              <w:spacing w:after="0" w:line="169" w:lineRule="exact"/>
              <w:rPr>
                <w:sz w:val="20"/>
                <w:szCs w:val="20"/>
                <w:color w:val="auto"/>
              </w:rPr>
            </w:pPr>
            <w:r>
              <w:rPr>
                <w:rFonts w:ascii="Arial" w:cs="Arial" w:eastAsia="Arial" w:hAnsi="Arial"/>
                <w:sz w:val="15"/>
                <w:szCs w:val="15"/>
                <w:color w:val="auto"/>
              </w:rPr>
              <w:t>$618,000</w:t>
            </w:r>
          </w:p>
        </w:tc>
        <w:tc>
          <w:tcPr>
            <w:tcW w:w="1160" w:type="dxa"/>
            <w:vAlign w:val="bottom"/>
            <w:tcBorders>
              <w:bottom w:val="single" w:sz="8" w:color="002F4D"/>
            </w:tcBorders>
          </w:tcPr>
          <w:p>
            <w:pPr>
              <w:jc w:val="right"/>
              <w:spacing w:after="0" w:line="169" w:lineRule="exact"/>
              <w:rPr>
                <w:sz w:val="20"/>
                <w:szCs w:val="20"/>
                <w:color w:val="auto"/>
              </w:rPr>
            </w:pPr>
            <w:r>
              <w:rPr>
                <w:rFonts w:ascii="Arial" w:cs="Arial" w:eastAsia="Arial" w:hAnsi="Arial"/>
                <w:sz w:val="15"/>
                <w:szCs w:val="15"/>
                <w:color w:val="auto"/>
              </w:rPr>
              <w:t>3.00%</w:t>
            </w:r>
          </w:p>
        </w:tc>
      </w:tr>
      <w:tr>
        <w:trPr>
          <w:trHeight w:val="169"/>
        </w:trPr>
        <w:tc>
          <w:tcPr>
            <w:tcW w:w="598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b w:val="1"/>
                <w:bCs w:val="1"/>
                <w:color w:val="auto"/>
              </w:rPr>
              <w:t>Steven P. Spittle (Chief Commercial Officer)</w:t>
            </w:r>
          </w:p>
        </w:tc>
        <w:tc>
          <w:tcPr>
            <w:tcW w:w="2720" w:type="dxa"/>
            <w:vAlign w:val="bottom"/>
            <w:tcBorders>
              <w:bottom w:val="single" w:sz="8" w:color="002F4D"/>
            </w:tcBorders>
          </w:tcPr>
          <w:p>
            <w:pPr>
              <w:jc w:val="right"/>
              <w:ind w:right="284"/>
              <w:spacing w:after="0" w:line="169" w:lineRule="exact"/>
              <w:rPr>
                <w:sz w:val="20"/>
                <w:szCs w:val="20"/>
                <w:color w:val="auto"/>
              </w:rPr>
            </w:pPr>
            <w:r>
              <w:rPr>
                <w:rFonts w:ascii="Arial" w:cs="Arial" w:eastAsia="Arial" w:hAnsi="Arial"/>
                <w:sz w:val="15"/>
                <w:szCs w:val="15"/>
                <w:color w:val="auto"/>
              </w:rPr>
              <w:t>$600,000</w:t>
            </w:r>
          </w:p>
        </w:tc>
        <w:tc>
          <w:tcPr>
            <w:tcW w:w="1380" w:type="dxa"/>
            <w:vAlign w:val="bottom"/>
            <w:tcBorders>
              <w:bottom w:val="single" w:sz="8" w:color="002F4D"/>
            </w:tcBorders>
          </w:tcPr>
          <w:p>
            <w:pPr>
              <w:jc w:val="right"/>
              <w:ind w:right="204"/>
              <w:spacing w:after="0" w:line="169" w:lineRule="exact"/>
              <w:rPr>
                <w:sz w:val="20"/>
                <w:szCs w:val="20"/>
                <w:color w:val="auto"/>
              </w:rPr>
            </w:pPr>
            <w:r>
              <w:rPr>
                <w:rFonts w:ascii="Arial" w:cs="Arial" w:eastAsia="Arial" w:hAnsi="Arial"/>
                <w:sz w:val="15"/>
                <w:szCs w:val="15"/>
                <w:color w:val="auto"/>
              </w:rPr>
              <w:t>$618,000</w:t>
            </w:r>
          </w:p>
        </w:tc>
        <w:tc>
          <w:tcPr>
            <w:tcW w:w="1160" w:type="dxa"/>
            <w:vAlign w:val="bottom"/>
            <w:tcBorders>
              <w:bottom w:val="single" w:sz="8" w:color="002F4D"/>
            </w:tcBorders>
          </w:tcPr>
          <w:p>
            <w:pPr>
              <w:jc w:val="right"/>
              <w:spacing w:after="0" w:line="169" w:lineRule="exact"/>
              <w:rPr>
                <w:sz w:val="20"/>
                <w:szCs w:val="20"/>
                <w:color w:val="auto"/>
              </w:rPr>
            </w:pPr>
            <w:r>
              <w:rPr>
                <w:rFonts w:ascii="Arial" w:cs="Arial" w:eastAsia="Arial" w:hAnsi="Arial"/>
                <w:sz w:val="15"/>
                <w:szCs w:val="15"/>
                <w:color w:val="auto"/>
              </w:rPr>
              <w:t>3.00%</w:t>
            </w:r>
          </w:p>
        </w:tc>
      </w:tr>
      <w:tr>
        <w:trPr>
          <w:trHeight w:val="175"/>
        </w:trPr>
        <w:tc>
          <w:tcPr>
            <w:tcW w:w="598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b w:val="1"/>
                <w:bCs w:val="1"/>
                <w:color w:val="auto"/>
              </w:rPr>
              <w:t>Matthew R. Fuchsen (Chief Development Officer)</w:t>
            </w:r>
          </w:p>
        </w:tc>
        <w:tc>
          <w:tcPr>
            <w:tcW w:w="2720" w:type="dxa"/>
            <w:vAlign w:val="bottom"/>
            <w:tcBorders>
              <w:bottom w:val="single" w:sz="8" w:color="002F4D"/>
            </w:tcBorders>
          </w:tcPr>
          <w:p>
            <w:pPr>
              <w:jc w:val="right"/>
              <w:ind w:right="284"/>
              <w:spacing w:after="0" w:line="169" w:lineRule="exact"/>
              <w:rPr>
                <w:sz w:val="20"/>
                <w:szCs w:val="20"/>
                <w:color w:val="auto"/>
              </w:rPr>
            </w:pPr>
            <w:r>
              <w:rPr>
                <w:rFonts w:ascii="Arial" w:cs="Arial" w:eastAsia="Arial" w:hAnsi="Arial"/>
                <w:sz w:val="15"/>
                <w:szCs w:val="15"/>
                <w:color w:val="auto"/>
              </w:rPr>
              <w:t>$420,000</w:t>
            </w:r>
          </w:p>
        </w:tc>
        <w:tc>
          <w:tcPr>
            <w:tcW w:w="1380" w:type="dxa"/>
            <w:vAlign w:val="bottom"/>
            <w:tcBorders>
              <w:bottom w:val="single" w:sz="8" w:color="002F4D"/>
            </w:tcBorders>
          </w:tcPr>
          <w:p>
            <w:pPr>
              <w:jc w:val="right"/>
              <w:ind w:right="204"/>
              <w:spacing w:after="0" w:line="169" w:lineRule="exact"/>
              <w:rPr>
                <w:sz w:val="20"/>
                <w:szCs w:val="20"/>
                <w:color w:val="auto"/>
              </w:rPr>
            </w:pPr>
            <w:r>
              <w:rPr>
                <w:rFonts w:ascii="Arial" w:cs="Arial" w:eastAsia="Arial" w:hAnsi="Arial"/>
                <w:sz w:val="15"/>
                <w:szCs w:val="15"/>
                <w:color w:val="auto"/>
              </w:rPr>
              <w:t>$432,600</w:t>
            </w:r>
          </w:p>
        </w:tc>
        <w:tc>
          <w:tcPr>
            <w:tcW w:w="1160" w:type="dxa"/>
            <w:vAlign w:val="bottom"/>
            <w:tcBorders>
              <w:bottom w:val="single" w:sz="8" w:color="002F4D"/>
            </w:tcBorders>
          </w:tcPr>
          <w:p>
            <w:pPr>
              <w:jc w:val="right"/>
              <w:spacing w:after="0" w:line="169" w:lineRule="exact"/>
              <w:rPr>
                <w:sz w:val="20"/>
                <w:szCs w:val="20"/>
                <w:color w:val="auto"/>
              </w:rPr>
            </w:pPr>
            <w:r>
              <w:rPr>
                <w:rFonts w:ascii="Arial" w:cs="Arial" w:eastAsia="Arial" w:hAnsi="Arial"/>
                <w:sz w:val="15"/>
                <w:szCs w:val="15"/>
                <w:color w:val="auto"/>
              </w:rPr>
              <w:t>3.00%</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5E7C"/>
        </w:rPr>
        <w:t>Annual Performance-Based Incentive Program</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Company provides annual performance-based cash incentives pursuant to the Value Creation Incentive Plan (“VCIP”). Under the VCIP, the Compensation Committee can establish performance goals utilizing multiple metrics, with the flexibility to adjust metrics and goals to address changing business needs. The VCIP is intended to provide an incentive for strong performance and to motivate eligible employees toward the highest level of achievement and business results by tying their goals and interests to those of the Company and our stockholders.</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In fiscal year 2025, the Compensation Committee approved and implemented an annual cash-based incentive compensation program under the VCIP for all of the NEOs. The annual incentive compensation program for 2025 includes bonus opportunities based upon performance against goals for organic adjusted EBITDA$ (“EBITDA$”) and organic adjusted EBITDA% (“EBITDA%”) for fiscal year 2025. These metrics, which emphasize different aspects of our performance than the metrics used for the long-term incentive plan, were implemented in part due to prior stockholder outreach, are consistent with leading governance practices, and serve as an effective reference for senior managers when making decisions for their respective operations. The Compensation Committee retains discretion regarding the determination of achievement of the performance metrics.</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following table shows 2025 actual EBITDA$ and EBITDA% as compared to the target EBITDA$ and EBITDA% goals and the corresponding annual performance-based cash compensation for each NEO under the VCIP. Each NEO’s target bonus opportunity under the VCIP for fiscal year 2025 was set at 100% of base salary and a maximum of 200% of base salary, as set forth below:</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265E7C"/>
        </w:rPr>
        <w:t>2025 ANNUAL PERFORMANCE-BASED CASH INCENTIVE PLAN PERFORMANCE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8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00" w:type="dxa"/>
            <w:vAlign w:val="bottom"/>
          </w:tcPr>
          <w:p>
            <w:pPr>
              <w:jc w:val="right"/>
              <w:ind w:right="24"/>
              <w:spacing w:after="0"/>
              <w:rPr>
                <w:sz w:val="20"/>
                <w:szCs w:val="20"/>
                <w:color w:val="auto"/>
              </w:rPr>
            </w:pPr>
            <w:r>
              <w:rPr>
                <w:rFonts w:ascii="Arial" w:cs="Arial" w:eastAsia="Arial" w:hAnsi="Arial"/>
                <w:sz w:val="15"/>
                <w:szCs w:val="15"/>
                <w:b w:val="1"/>
                <w:bCs w:val="1"/>
                <w:color w:val="00304D"/>
              </w:rPr>
              <w:t>Annual</w:t>
            </w:r>
          </w:p>
        </w:tc>
      </w:tr>
      <w:tr>
        <w:trPr>
          <w:trHeight w:val="177"/>
        </w:trPr>
        <w:tc>
          <w:tcPr>
            <w:tcW w:w="28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00" w:type="dxa"/>
            <w:vAlign w:val="bottom"/>
          </w:tcPr>
          <w:p>
            <w:pPr>
              <w:jc w:val="right"/>
              <w:ind w:right="24"/>
              <w:spacing w:after="0"/>
              <w:rPr>
                <w:sz w:val="20"/>
                <w:szCs w:val="20"/>
                <w:color w:val="auto"/>
              </w:rPr>
            </w:pPr>
            <w:r>
              <w:rPr>
                <w:rFonts w:ascii="Arial" w:cs="Arial" w:eastAsia="Arial" w:hAnsi="Arial"/>
                <w:sz w:val="15"/>
                <w:szCs w:val="15"/>
                <w:b w:val="1"/>
                <w:bCs w:val="1"/>
                <w:color w:val="00304D"/>
              </w:rPr>
              <w:t>Performance-</w:t>
            </w:r>
          </w:p>
        </w:tc>
      </w:tr>
      <w:tr>
        <w:trPr>
          <w:trHeight w:val="177"/>
        </w:trPr>
        <w:tc>
          <w:tcPr>
            <w:tcW w:w="2880" w:type="dxa"/>
            <w:vAlign w:val="bottom"/>
          </w:tcPr>
          <w:p>
            <w:pPr>
              <w:spacing w:after="0"/>
              <w:rPr>
                <w:sz w:val="15"/>
                <w:szCs w:val="15"/>
                <w:color w:val="auto"/>
              </w:rPr>
            </w:pPr>
          </w:p>
        </w:tc>
        <w:tc>
          <w:tcPr>
            <w:tcW w:w="1840" w:type="dxa"/>
            <w:vAlign w:val="bottom"/>
          </w:tcPr>
          <w:p>
            <w:pPr>
              <w:jc w:val="right"/>
              <w:ind w:right="44"/>
              <w:spacing w:after="0"/>
              <w:rPr>
                <w:sz w:val="20"/>
                <w:szCs w:val="20"/>
                <w:color w:val="auto"/>
              </w:rPr>
            </w:pPr>
            <w:r>
              <w:rPr>
                <w:rFonts w:ascii="Arial" w:cs="Arial" w:eastAsia="Arial" w:hAnsi="Arial"/>
                <w:sz w:val="15"/>
                <w:szCs w:val="15"/>
                <w:b w:val="1"/>
                <w:bCs w:val="1"/>
                <w:color w:val="00304D"/>
              </w:rPr>
              <w:t>Relative</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Arial" w:cs="Arial" w:eastAsia="Arial" w:hAnsi="Arial"/>
                <w:sz w:val="15"/>
                <w:szCs w:val="15"/>
                <w:b w:val="1"/>
                <w:bCs w:val="1"/>
                <w:color w:val="00304D"/>
              </w:rPr>
              <w:t>Reported</w:t>
            </w:r>
          </w:p>
        </w:tc>
        <w:tc>
          <w:tcPr>
            <w:tcW w:w="860" w:type="dxa"/>
            <w:vAlign w:val="bottom"/>
            <w:gridSpan w:val="2"/>
          </w:tcPr>
          <w:p>
            <w:pPr>
              <w:jc w:val="right"/>
              <w:ind w:right="24"/>
              <w:spacing w:after="0"/>
              <w:rPr>
                <w:sz w:val="20"/>
                <w:szCs w:val="20"/>
                <w:color w:val="auto"/>
              </w:rPr>
            </w:pPr>
            <w:r>
              <w:rPr>
                <w:rFonts w:ascii="Arial" w:cs="Arial" w:eastAsia="Arial" w:hAnsi="Arial"/>
                <w:sz w:val="15"/>
                <w:szCs w:val="15"/>
                <w:b w:val="1"/>
                <w:bCs w:val="1"/>
                <w:color w:val="00304D"/>
              </w:rPr>
              <w:t>Adjusted</w:t>
            </w:r>
          </w:p>
        </w:tc>
        <w:tc>
          <w:tcPr>
            <w:tcW w:w="1300" w:type="dxa"/>
            <w:vAlign w:val="bottom"/>
          </w:tcPr>
          <w:p>
            <w:pPr>
              <w:jc w:val="right"/>
              <w:ind w:right="24"/>
              <w:spacing w:after="0"/>
              <w:rPr>
                <w:sz w:val="20"/>
                <w:szCs w:val="20"/>
                <w:color w:val="auto"/>
              </w:rPr>
            </w:pPr>
            <w:r>
              <w:rPr>
                <w:rFonts w:ascii="Arial" w:cs="Arial" w:eastAsia="Arial" w:hAnsi="Arial"/>
                <w:sz w:val="15"/>
                <w:szCs w:val="15"/>
                <w:b w:val="1"/>
                <w:bCs w:val="1"/>
                <w:color w:val="00304D"/>
              </w:rPr>
              <w:t>Based Cash</w:t>
            </w:r>
          </w:p>
        </w:tc>
      </w:tr>
      <w:tr>
        <w:trPr>
          <w:trHeight w:val="189"/>
        </w:trPr>
        <w:tc>
          <w:tcPr>
            <w:tcW w:w="288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00304D"/>
              </w:rPr>
              <w:t>Performance Metric</w:t>
            </w:r>
          </w:p>
        </w:tc>
        <w:tc>
          <w:tcPr>
            <w:tcW w:w="184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b w:val="1"/>
                <w:bCs w:val="1"/>
                <w:color w:val="00304D"/>
              </w:rPr>
              <w:t>Weighting</w:t>
            </w:r>
          </w:p>
        </w:tc>
        <w:tc>
          <w:tcPr>
            <w:tcW w:w="920" w:type="dxa"/>
            <w:vAlign w:val="bottom"/>
            <w:tcBorders>
              <w:bottom w:val="single" w:sz="8" w:color="002F4D"/>
            </w:tcBorders>
            <w:gridSpan w:val="2"/>
          </w:tcPr>
          <w:p>
            <w:pPr>
              <w:ind w:left="80"/>
              <w:spacing w:after="0"/>
              <w:rPr>
                <w:sz w:val="20"/>
                <w:szCs w:val="20"/>
                <w:color w:val="auto"/>
              </w:rPr>
            </w:pPr>
            <w:r>
              <w:rPr>
                <w:rFonts w:ascii="Arial" w:cs="Arial" w:eastAsia="Arial" w:hAnsi="Arial"/>
                <w:sz w:val="15"/>
                <w:szCs w:val="15"/>
                <w:b w:val="1"/>
                <w:bCs w:val="1"/>
                <w:color w:val="00304D"/>
              </w:rPr>
              <w:t>Threshold</w:t>
            </w:r>
          </w:p>
        </w:tc>
        <w:tc>
          <w:tcPr>
            <w:tcW w:w="220" w:type="dxa"/>
            <w:vAlign w:val="bottom"/>
            <w:tcBorders>
              <w:bottom w:val="single" w:sz="8" w:color="002F4D"/>
            </w:tcBorders>
          </w:tcPr>
          <w:p>
            <w:pPr>
              <w:spacing w:after="0"/>
              <w:rPr>
                <w:sz w:val="16"/>
                <w:szCs w:val="16"/>
                <w:color w:val="auto"/>
              </w:rPr>
            </w:pPr>
          </w:p>
        </w:tc>
        <w:tc>
          <w:tcPr>
            <w:tcW w:w="64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b w:val="1"/>
                <w:bCs w:val="1"/>
                <w:color w:val="00304D"/>
              </w:rPr>
              <w:t>Target</w:t>
            </w:r>
          </w:p>
        </w:tc>
        <w:tc>
          <w:tcPr>
            <w:tcW w:w="82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b w:val="1"/>
                <w:bCs w:val="1"/>
                <w:color w:val="00304D"/>
              </w:rPr>
              <w:t>Target+</w:t>
            </w:r>
          </w:p>
        </w:tc>
        <w:tc>
          <w:tcPr>
            <w:tcW w:w="900" w:type="dxa"/>
            <w:vAlign w:val="bottom"/>
            <w:tcBorders>
              <w:bottom w:val="single" w:sz="8" w:color="002F4D"/>
            </w:tcBorders>
            <w:gridSpan w:val="2"/>
          </w:tcPr>
          <w:p>
            <w:pPr>
              <w:ind w:left="100"/>
              <w:spacing w:after="0"/>
              <w:rPr>
                <w:sz w:val="20"/>
                <w:szCs w:val="20"/>
                <w:color w:val="auto"/>
              </w:rPr>
            </w:pPr>
            <w:r>
              <w:rPr>
                <w:rFonts w:ascii="Arial" w:cs="Arial" w:eastAsia="Arial" w:hAnsi="Arial"/>
                <w:sz w:val="15"/>
                <w:szCs w:val="15"/>
                <w:b w:val="1"/>
                <w:bCs w:val="1"/>
                <w:color w:val="00304D"/>
              </w:rPr>
              <w:t>Maximum</w:t>
            </w:r>
          </w:p>
        </w:tc>
        <w:tc>
          <w:tcPr>
            <w:tcW w:w="220" w:type="dxa"/>
            <w:vAlign w:val="bottom"/>
            <w:tcBorders>
              <w:bottom w:val="single" w:sz="8" w:color="002F4D"/>
            </w:tcBorders>
          </w:tcPr>
          <w:p>
            <w:pPr>
              <w:spacing w:after="0"/>
              <w:rPr>
                <w:sz w:val="16"/>
                <w:szCs w:val="16"/>
                <w:color w:val="auto"/>
              </w:rPr>
            </w:pPr>
          </w:p>
        </w:tc>
        <w:tc>
          <w:tcPr>
            <w:tcW w:w="64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b w:val="1"/>
                <w:bCs w:val="1"/>
                <w:color w:val="00304D"/>
              </w:rPr>
              <w:t>Result</w:t>
            </w:r>
          </w:p>
        </w:tc>
        <w:tc>
          <w:tcPr>
            <w:tcW w:w="220" w:type="dxa"/>
            <w:vAlign w:val="bottom"/>
            <w:tcBorders>
              <w:bottom w:val="single" w:sz="8" w:color="002F4D"/>
            </w:tcBorders>
          </w:tcPr>
          <w:p>
            <w:pPr>
              <w:spacing w:after="0"/>
              <w:rPr>
                <w:sz w:val="16"/>
                <w:szCs w:val="16"/>
                <w:color w:val="auto"/>
              </w:rPr>
            </w:pPr>
          </w:p>
        </w:tc>
        <w:tc>
          <w:tcPr>
            <w:tcW w:w="64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b w:val="1"/>
                <w:bCs w:val="1"/>
                <w:color w:val="00304D"/>
              </w:rPr>
              <w:t>Result</w:t>
            </w:r>
          </w:p>
        </w:tc>
        <w:tc>
          <w:tcPr>
            <w:tcW w:w="130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b w:val="1"/>
                <w:bCs w:val="1"/>
                <w:color w:val="00304D"/>
              </w:rPr>
              <w:t>Compensation*</w:t>
            </w:r>
          </w:p>
        </w:tc>
      </w:tr>
      <w:tr>
        <w:trPr>
          <w:trHeight w:val="169"/>
        </w:trPr>
        <w:tc>
          <w:tcPr>
            <w:tcW w:w="288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color w:val="auto"/>
              </w:rPr>
              <w:t>EBITDA$ (in millions)**</w:t>
            </w:r>
          </w:p>
        </w:tc>
        <w:tc>
          <w:tcPr>
            <w:tcW w:w="1840" w:type="dxa"/>
            <w:vAlign w:val="bottom"/>
            <w:tcBorders>
              <w:bottom w:val="single" w:sz="8" w:color="002F4D"/>
            </w:tcBorders>
          </w:tcPr>
          <w:p>
            <w:pPr>
              <w:jc w:val="right"/>
              <w:ind w:right="44"/>
              <w:spacing w:after="0" w:line="169" w:lineRule="exact"/>
              <w:rPr>
                <w:sz w:val="20"/>
                <w:szCs w:val="20"/>
                <w:color w:val="auto"/>
              </w:rPr>
            </w:pPr>
            <w:r>
              <w:rPr>
                <w:rFonts w:ascii="Arial" w:cs="Arial" w:eastAsia="Arial" w:hAnsi="Arial"/>
                <w:sz w:val="15"/>
                <w:szCs w:val="15"/>
                <w:color w:val="auto"/>
              </w:rPr>
              <w:t>65%</w:t>
            </w:r>
          </w:p>
        </w:tc>
        <w:tc>
          <w:tcPr>
            <w:tcW w:w="240" w:type="dxa"/>
            <w:vAlign w:val="bottom"/>
            <w:tcBorders>
              <w:bottom w:val="single" w:sz="8" w:color="002F4D"/>
            </w:tcBorders>
          </w:tcPr>
          <w:p>
            <w:pPr>
              <w:ind w:left="80"/>
              <w:spacing w:after="0" w:line="169" w:lineRule="exact"/>
              <w:rPr>
                <w:sz w:val="20"/>
                <w:szCs w:val="20"/>
                <w:color w:val="auto"/>
              </w:rPr>
            </w:pPr>
            <w:r>
              <w:rPr>
                <w:rFonts w:ascii="Arial" w:cs="Arial" w:eastAsia="Arial" w:hAnsi="Arial"/>
                <w:sz w:val="15"/>
                <w:szCs w:val="15"/>
                <w:color w:val="auto"/>
              </w:rPr>
              <w:t>$</w:t>
            </w:r>
          </w:p>
        </w:tc>
        <w:tc>
          <w:tcPr>
            <w:tcW w:w="680" w:type="dxa"/>
            <w:vAlign w:val="bottom"/>
            <w:tcBorders>
              <w:bottom w:val="single" w:sz="8" w:color="002F4D"/>
            </w:tcBorders>
          </w:tcPr>
          <w:p>
            <w:pPr>
              <w:jc w:val="right"/>
              <w:ind w:right="24"/>
              <w:spacing w:after="0" w:line="169" w:lineRule="exact"/>
              <w:rPr>
                <w:sz w:val="20"/>
                <w:szCs w:val="20"/>
                <w:color w:val="auto"/>
              </w:rPr>
            </w:pPr>
            <w:r>
              <w:rPr>
                <w:rFonts w:ascii="Arial" w:cs="Arial" w:eastAsia="Arial" w:hAnsi="Arial"/>
                <w:sz w:val="15"/>
                <w:szCs w:val="15"/>
                <w:color w:val="auto"/>
              </w:rPr>
              <w:t>880</w:t>
            </w:r>
          </w:p>
        </w:tc>
        <w:tc>
          <w:tcPr>
            <w:tcW w:w="220" w:type="dxa"/>
            <w:vAlign w:val="bottom"/>
            <w:tcBorders>
              <w:bottom w:val="single" w:sz="8" w:color="002F4D"/>
            </w:tcBorders>
          </w:tcPr>
          <w:p>
            <w:pPr>
              <w:jc w:val="right"/>
              <w:spacing w:after="0" w:line="169" w:lineRule="exact"/>
              <w:rPr>
                <w:sz w:val="20"/>
                <w:szCs w:val="20"/>
                <w:color w:val="auto"/>
              </w:rPr>
            </w:pPr>
            <w:r>
              <w:rPr>
                <w:rFonts w:ascii="Arial" w:cs="Arial" w:eastAsia="Arial" w:hAnsi="Arial"/>
                <w:sz w:val="15"/>
                <w:szCs w:val="15"/>
                <w:color w:val="auto"/>
              </w:rPr>
              <w:t>$</w:t>
            </w:r>
          </w:p>
        </w:tc>
        <w:tc>
          <w:tcPr>
            <w:tcW w:w="640" w:type="dxa"/>
            <w:vAlign w:val="bottom"/>
            <w:tcBorders>
              <w:bottom w:val="single" w:sz="8" w:color="002F4D"/>
            </w:tcBorders>
          </w:tcPr>
          <w:p>
            <w:pPr>
              <w:jc w:val="right"/>
              <w:ind w:right="24"/>
              <w:spacing w:after="0" w:line="169" w:lineRule="exact"/>
              <w:rPr>
                <w:sz w:val="20"/>
                <w:szCs w:val="20"/>
                <w:color w:val="auto"/>
              </w:rPr>
            </w:pPr>
            <w:r>
              <w:rPr>
                <w:rFonts w:ascii="Arial" w:cs="Arial" w:eastAsia="Arial" w:hAnsi="Arial"/>
                <w:sz w:val="15"/>
                <w:szCs w:val="15"/>
                <w:color w:val="auto"/>
              </w:rPr>
              <w:t>900</w:t>
            </w:r>
          </w:p>
        </w:tc>
        <w:tc>
          <w:tcPr>
            <w:tcW w:w="820" w:type="dxa"/>
            <w:vAlign w:val="bottom"/>
            <w:tcBorders>
              <w:bottom w:val="single" w:sz="8" w:color="002F4D"/>
            </w:tcBorders>
          </w:tcPr>
          <w:p>
            <w:pPr>
              <w:jc w:val="right"/>
              <w:ind w:right="24"/>
              <w:spacing w:after="0" w:line="169" w:lineRule="exact"/>
              <w:rPr>
                <w:sz w:val="20"/>
                <w:szCs w:val="20"/>
                <w:color w:val="auto"/>
              </w:rPr>
            </w:pPr>
            <w:r>
              <w:rPr>
                <w:rFonts w:ascii="Arial" w:cs="Arial" w:eastAsia="Arial" w:hAnsi="Arial"/>
                <w:sz w:val="15"/>
                <w:szCs w:val="15"/>
                <w:color w:val="auto"/>
              </w:rPr>
              <w:t>$    920</w:t>
            </w:r>
          </w:p>
        </w:tc>
        <w:tc>
          <w:tcPr>
            <w:tcW w:w="240" w:type="dxa"/>
            <w:vAlign w:val="bottom"/>
            <w:tcBorders>
              <w:bottom w:val="single" w:sz="8" w:color="002F4D"/>
            </w:tcBorders>
          </w:tcPr>
          <w:p>
            <w:pPr>
              <w:ind w:left="100"/>
              <w:spacing w:after="0" w:line="169"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002F4D"/>
            </w:tcBorders>
          </w:tcPr>
          <w:p>
            <w:pPr>
              <w:jc w:val="right"/>
              <w:ind w:right="24"/>
              <w:spacing w:after="0" w:line="169" w:lineRule="exact"/>
              <w:rPr>
                <w:sz w:val="20"/>
                <w:szCs w:val="20"/>
                <w:color w:val="auto"/>
              </w:rPr>
            </w:pPr>
            <w:r>
              <w:rPr>
                <w:rFonts w:ascii="Arial" w:cs="Arial" w:eastAsia="Arial" w:hAnsi="Arial"/>
                <w:sz w:val="15"/>
                <w:szCs w:val="15"/>
                <w:color w:val="auto"/>
              </w:rPr>
              <w:t>940</w:t>
            </w:r>
          </w:p>
        </w:tc>
        <w:tc>
          <w:tcPr>
            <w:tcW w:w="220" w:type="dxa"/>
            <w:vAlign w:val="bottom"/>
            <w:tcBorders>
              <w:bottom w:val="single" w:sz="8" w:color="002F4D"/>
            </w:tcBorders>
          </w:tcPr>
          <w:p>
            <w:pPr>
              <w:ind w:left="100"/>
              <w:spacing w:after="0" w:line="169" w:lineRule="exact"/>
              <w:rPr>
                <w:sz w:val="20"/>
                <w:szCs w:val="20"/>
                <w:color w:val="auto"/>
              </w:rPr>
            </w:pPr>
            <w:r>
              <w:rPr>
                <w:rFonts w:ascii="Arial" w:cs="Arial" w:eastAsia="Arial" w:hAnsi="Arial"/>
                <w:sz w:val="15"/>
                <w:szCs w:val="15"/>
                <w:color w:val="auto"/>
              </w:rPr>
              <w:t>$</w:t>
            </w:r>
          </w:p>
        </w:tc>
        <w:tc>
          <w:tcPr>
            <w:tcW w:w="640" w:type="dxa"/>
            <w:vAlign w:val="bottom"/>
            <w:tcBorders>
              <w:bottom w:val="single" w:sz="8" w:color="002F4D"/>
            </w:tcBorders>
          </w:tcPr>
          <w:p>
            <w:pPr>
              <w:jc w:val="right"/>
              <w:ind w:right="24"/>
              <w:spacing w:after="0" w:line="169" w:lineRule="exact"/>
              <w:rPr>
                <w:sz w:val="20"/>
                <w:szCs w:val="20"/>
                <w:color w:val="auto"/>
              </w:rPr>
            </w:pPr>
            <w:r>
              <w:rPr>
                <w:rFonts w:ascii="Arial" w:cs="Arial" w:eastAsia="Arial" w:hAnsi="Arial"/>
                <w:sz w:val="15"/>
                <w:szCs w:val="15"/>
                <w:color w:val="auto"/>
              </w:rPr>
              <w:t>798</w:t>
            </w:r>
          </w:p>
        </w:tc>
        <w:tc>
          <w:tcPr>
            <w:tcW w:w="220" w:type="dxa"/>
            <w:vAlign w:val="bottom"/>
            <w:tcBorders>
              <w:bottom w:val="single" w:sz="8" w:color="002F4D"/>
            </w:tcBorders>
          </w:tcPr>
          <w:p>
            <w:pPr>
              <w:jc w:val="right"/>
              <w:spacing w:after="0" w:line="169" w:lineRule="exact"/>
              <w:rPr>
                <w:sz w:val="20"/>
                <w:szCs w:val="20"/>
                <w:color w:val="auto"/>
              </w:rPr>
            </w:pPr>
            <w:r>
              <w:rPr>
                <w:rFonts w:ascii="Arial" w:cs="Arial" w:eastAsia="Arial" w:hAnsi="Arial"/>
                <w:sz w:val="15"/>
                <w:szCs w:val="15"/>
                <w:color w:val="auto"/>
              </w:rPr>
              <w:t>$</w:t>
            </w:r>
          </w:p>
        </w:tc>
        <w:tc>
          <w:tcPr>
            <w:tcW w:w="640" w:type="dxa"/>
            <w:vAlign w:val="bottom"/>
            <w:tcBorders>
              <w:bottom w:val="single" w:sz="8" w:color="002F4D"/>
            </w:tcBorders>
          </w:tcPr>
          <w:p>
            <w:pPr>
              <w:jc w:val="right"/>
              <w:ind w:right="24"/>
              <w:spacing w:after="0" w:line="169" w:lineRule="exact"/>
              <w:rPr>
                <w:sz w:val="20"/>
                <w:szCs w:val="20"/>
                <w:color w:val="auto"/>
              </w:rPr>
            </w:pPr>
            <w:r>
              <w:rPr>
                <w:rFonts w:ascii="Arial" w:cs="Arial" w:eastAsia="Arial" w:hAnsi="Arial"/>
                <w:sz w:val="15"/>
                <w:szCs w:val="15"/>
                <w:color w:val="auto"/>
              </w:rPr>
              <w:t>797</w:t>
            </w:r>
          </w:p>
        </w:tc>
        <w:tc>
          <w:tcPr>
            <w:tcW w:w="1300" w:type="dxa"/>
            <w:vAlign w:val="bottom"/>
            <w:tcBorders>
              <w:bottom w:val="single" w:sz="8" w:color="002F4D"/>
            </w:tcBorders>
          </w:tcPr>
          <w:p>
            <w:pPr>
              <w:spacing w:after="0"/>
              <w:rPr>
                <w:sz w:val="14"/>
                <w:szCs w:val="14"/>
                <w:color w:val="auto"/>
              </w:rPr>
            </w:pPr>
          </w:p>
        </w:tc>
      </w:tr>
      <w:tr>
        <w:trPr>
          <w:trHeight w:val="169"/>
        </w:trPr>
        <w:tc>
          <w:tcPr>
            <w:tcW w:w="288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color w:val="auto"/>
              </w:rPr>
              <w:t>Percentage of Base Salary</w:t>
            </w:r>
          </w:p>
        </w:tc>
        <w:tc>
          <w:tcPr>
            <w:tcW w:w="1840" w:type="dxa"/>
            <w:vAlign w:val="bottom"/>
            <w:tcBorders>
              <w:bottom w:val="single" w:sz="8" w:color="002F4D"/>
            </w:tcBorders>
          </w:tcPr>
          <w:p>
            <w:pPr>
              <w:spacing w:after="0"/>
              <w:rPr>
                <w:sz w:val="14"/>
                <w:szCs w:val="14"/>
                <w:color w:val="auto"/>
              </w:rPr>
            </w:pPr>
          </w:p>
        </w:tc>
        <w:tc>
          <w:tcPr>
            <w:tcW w:w="240" w:type="dxa"/>
            <w:vAlign w:val="bottom"/>
            <w:tcBorders>
              <w:bottom w:val="single" w:sz="8" w:color="002F4D"/>
            </w:tcBorders>
          </w:tcPr>
          <w:p>
            <w:pPr>
              <w:spacing w:after="0"/>
              <w:rPr>
                <w:sz w:val="14"/>
                <w:szCs w:val="14"/>
                <w:color w:val="auto"/>
              </w:rPr>
            </w:pPr>
          </w:p>
        </w:tc>
        <w:tc>
          <w:tcPr>
            <w:tcW w:w="680" w:type="dxa"/>
            <w:vAlign w:val="bottom"/>
            <w:tcBorders>
              <w:bottom w:val="single" w:sz="8" w:color="002F4D"/>
            </w:tcBorders>
          </w:tcPr>
          <w:p>
            <w:pPr>
              <w:jc w:val="right"/>
              <w:ind w:right="24"/>
              <w:spacing w:after="0" w:line="169" w:lineRule="exact"/>
              <w:rPr>
                <w:sz w:val="20"/>
                <w:szCs w:val="20"/>
                <w:color w:val="auto"/>
              </w:rPr>
            </w:pPr>
            <w:r>
              <w:rPr>
                <w:rFonts w:ascii="Arial" w:cs="Arial" w:eastAsia="Arial" w:hAnsi="Arial"/>
                <w:sz w:val="15"/>
                <w:szCs w:val="15"/>
                <w:color w:val="auto"/>
              </w:rPr>
              <w:t>33%</w:t>
            </w:r>
          </w:p>
        </w:tc>
        <w:tc>
          <w:tcPr>
            <w:tcW w:w="220" w:type="dxa"/>
            <w:vAlign w:val="bottom"/>
            <w:tcBorders>
              <w:bottom w:val="single" w:sz="8" w:color="002F4D"/>
            </w:tcBorders>
          </w:tcPr>
          <w:p>
            <w:pPr>
              <w:spacing w:after="0"/>
              <w:rPr>
                <w:sz w:val="14"/>
                <w:szCs w:val="14"/>
                <w:color w:val="auto"/>
              </w:rPr>
            </w:pPr>
          </w:p>
        </w:tc>
        <w:tc>
          <w:tcPr>
            <w:tcW w:w="640" w:type="dxa"/>
            <w:vAlign w:val="bottom"/>
            <w:tcBorders>
              <w:bottom w:val="single" w:sz="8" w:color="002F4D"/>
            </w:tcBorders>
          </w:tcPr>
          <w:p>
            <w:pPr>
              <w:jc w:val="right"/>
              <w:ind w:right="24"/>
              <w:spacing w:after="0" w:line="169" w:lineRule="exact"/>
              <w:rPr>
                <w:sz w:val="20"/>
                <w:szCs w:val="20"/>
                <w:color w:val="auto"/>
              </w:rPr>
            </w:pPr>
            <w:r>
              <w:rPr>
                <w:rFonts w:ascii="Arial" w:cs="Arial" w:eastAsia="Arial" w:hAnsi="Arial"/>
                <w:sz w:val="15"/>
                <w:szCs w:val="15"/>
                <w:color w:val="auto"/>
              </w:rPr>
              <w:t>65%</w:t>
            </w:r>
          </w:p>
        </w:tc>
        <w:tc>
          <w:tcPr>
            <w:tcW w:w="820" w:type="dxa"/>
            <w:vAlign w:val="bottom"/>
            <w:tcBorders>
              <w:bottom w:val="single" w:sz="8" w:color="002F4D"/>
            </w:tcBorders>
          </w:tcPr>
          <w:p>
            <w:pPr>
              <w:jc w:val="right"/>
              <w:ind w:right="24"/>
              <w:spacing w:after="0" w:line="169" w:lineRule="exact"/>
              <w:rPr>
                <w:sz w:val="20"/>
                <w:szCs w:val="20"/>
                <w:color w:val="auto"/>
              </w:rPr>
            </w:pPr>
            <w:r>
              <w:rPr>
                <w:rFonts w:ascii="Arial" w:cs="Arial" w:eastAsia="Arial" w:hAnsi="Arial"/>
                <w:sz w:val="15"/>
                <w:szCs w:val="15"/>
                <w:color w:val="auto"/>
              </w:rPr>
              <w:t>98%</w:t>
            </w:r>
          </w:p>
        </w:tc>
        <w:tc>
          <w:tcPr>
            <w:tcW w:w="240" w:type="dxa"/>
            <w:vAlign w:val="bottom"/>
            <w:tcBorders>
              <w:bottom w:val="single" w:sz="8" w:color="002F4D"/>
            </w:tcBorders>
          </w:tcPr>
          <w:p>
            <w:pPr>
              <w:spacing w:after="0"/>
              <w:rPr>
                <w:sz w:val="14"/>
                <w:szCs w:val="14"/>
                <w:color w:val="auto"/>
              </w:rPr>
            </w:pPr>
          </w:p>
        </w:tc>
        <w:tc>
          <w:tcPr>
            <w:tcW w:w="660" w:type="dxa"/>
            <w:vAlign w:val="bottom"/>
            <w:tcBorders>
              <w:bottom w:val="single" w:sz="8" w:color="002F4D"/>
            </w:tcBorders>
          </w:tcPr>
          <w:p>
            <w:pPr>
              <w:jc w:val="right"/>
              <w:ind w:right="24"/>
              <w:spacing w:after="0" w:line="169" w:lineRule="exact"/>
              <w:rPr>
                <w:sz w:val="20"/>
                <w:szCs w:val="20"/>
                <w:color w:val="auto"/>
              </w:rPr>
            </w:pPr>
            <w:r>
              <w:rPr>
                <w:rFonts w:ascii="Arial" w:cs="Arial" w:eastAsia="Arial" w:hAnsi="Arial"/>
                <w:sz w:val="15"/>
                <w:szCs w:val="15"/>
                <w:color w:val="auto"/>
              </w:rPr>
              <w:t>130%</w:t>
            </w:r>
          </w:p>
        </w:tc>
        <w:tc>
          <w:tcPr>
            <w:tcW w:w="220" w:type="dxa"/>
            <w:vAlign w:val="bottom"/>
            <w:tcBorders>
              <w:bottom w:val="single" w:sz="8" w:color="002F4D"/>
            </w:tcBorders>
          </w:tcPr>
          <w:p>
            <w:pPr>
              <w:spacing w:after="0"/>
              <w:rPr>
                <w:sz w:val="14"/>
                <w:szCs w:val="14"/>
                <w:color w:val="auto"/>
              </w:rPr>
            </w:pPr>
          </w:p>
        </w:tc>
        <w:tc>
          <w:tcPr>
            <w:tcW w:w="640" w:type="dxa"/>
            <w:vAlign w:val="bottom"/>
            <w:tcBorders>
              <w:bottom w:val="single" w:sz="8" w:color="002F4D"/>
            </w:tcBorders>
          </w:tcPr>
          <w:p>
            <w:pPr>
              <w:spacing w:after="0"/>
              <w:rPr>
                <w:sz w:val="14"/>
                <w:szCs w:val="14"/>
                <w:color w:val="auto"/>
              </w:rPr>
            </w:pPr>
          </w:p>
        </w:tc>
        <w:tc>
          <w:tcPr>
            <w:tcW w:w="220" w:type="dxa"/>
            <w:vAlign w:val="bottom"/>
            <w:tcBorders>
              <w:bottom w:val="single" w:sz="8" w:color="002F4D"/>
            </w:tcBorders>
          </w:tcPr>
          <w:p>
            <w:pPr>
              <w:spacing w:after="0"/>
              <w:rPr>
                <w:sz w:val="14"/>
                <w:szCs w:val="14"/>
                <w:color w:val="auto"/>
              </w:rPr>
            </w:pPr>
          </w:p>
        </w:tc>
        <w:tc>
          <w:tcPr>
            <w:tcW w:w="640" w:type="dxa"/>
            <w:vAlign w:val="bottom"/>
            <w:tcBorders>
              <w:bottom w:val="single" w:sz="8" w:color="002F4D"/>
            </w:tcBorders>
          </w:tcPr>
          <w:p>
            <w:pPr>
              <w:spacing w:after="0"/>
              <w:rPr>
                <w:sz w:val="14"/>
                <w:szCs w:val="14"/>
                <w:color w:val="auto"/>
              </w:rPr>
            </w:pPr>
          </w:p>
        </w:tc>
        <w:tc>
          <w:tcPr>
            <w:tcW w:w="1300" w:type="dxa"/>
            <w:vAlign w:val="bottom"/>
            <w:tcBorders>
              <w:bottom w:val="single" w:sz="8" w:color="002F4D"/>
            </w:tcBorders>
          </w:tcPr>
          <w:p>
            <w:pPr>
              <w:jc w:val="right"/>
              <w:ind w:right="24"/>
              <w:spacing w:after="0" w:line="169" w:lineRule="exact"/>
              <w:rPr>
                <w:sz w:val="20"/>
                <w:szCs w:val="20"/>
                <w:color w:val="auto"/>
              </w:rPr>
            </w:pPr>
            <w:r>
              <w:rPr>
                <w:rFonts w:ascii="Arial" w:cs="Arial" w:eastAsia="Arial" w:hAnsi="Arial"/>
                <w:sz w:val="15"/>
                <w:szCs w:val="15"/>
                <w:color w:val="auto"/>
              </w:rPr>
              <w:t>0%</w:t>
            </w:r>
          </w:p>
        </w:tc>
      </w:tr>
      <w:tr>
        <w:trPr>
          <w:trHeight w:val="169"/>
        </w:trPr>
        <w:tc>
          <w:tcPr>
            <w:tcW w:w="288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color w:val="auto"/>
              </w:rPr>
              <w:t>EBITDA%**</w:t>
            </w:r>
          </w:p>
        </w:tc>
        <w:tc>
          <w:tcPr>
            <w:tcW w:w="1840" w:type="dxa"/>
            <w:vAlign w:val="bottom"/>
            <w:tcBorders>
              <w:bottom w:val="single" w:sz="8" w:color="002F4D"/>
            </w:tcBorders>
          </w:tcPr>
          <w:p>
            <w:pPr>
              <w:jc w:val="right"/>
              <w:ind w:right="44"/>
              <w:spacing w:after="0" w:line="169" w:lineRule="exact"/>
              <w:rPr>
                <w:sz w:val="20"/>
                <w:szCs w:val="20"/>
                <w:color w:val="auto"/>
              </w:rPr>
            </w:pPr>
            <w:r>
              <w:rPr>
                <w:rFonts w:ascii="Arial" w:cs="Arial" w:eastAsia="Arial" w:hAnsi="Arial"/>
                <w:sz w:val="15"/>
                <w:szCs w:val="15"/>
                <w:color w:val="auto"/>
              </w:rPr>
              <w:t>35%</w:t>
            </w:r>
          </w:p>
        </w:tc>
        <w:tc>
          <w:tcPr>
            <w:tcW w:w="240" w:type="dxa"/>
            <w:vAlign w:val="bottom"/>
            <w:tcBorders>
              <w:bottom w:val="single" w:sz="8" w:color="002F4D"/>
            </w:tcBorders>
          </w:tcPr>
          <w:p>
            <w:pPr>
              <w:spacing w:after="0"/>
              <w:rPr>
                <w:sz w:val="14"/>
                <w:szCs w:val="14"/>
                <w:color w:val="auto"/>
              </w:rPr>
            </w:pPr>
          </w:p>
        </w:tc>
        <w:tc>
          <w:tcPr>
            <w:tcW w:w="680" w:type="dxa"/>
            <w:vAlign w:val="bottom"/>
            <w:tcBorders>
              <w:bottom w:val="single" w:sz="8" w:color="002F4D"/>
            </w:tcBorders>
          </w:tcPr>
          <w:p>
            <w:pPr>
              <w:jc w:val="right"/>
              <w:ind w:right="24"/>
              <w:spacing w:after="0" w:line="169" w:lineRule="exact"/>
              <w:rPr>
                <w:sz w:val="20"/>
                <w:szCs w:val="20"/>
                <w:color w:val="auto"/>
              </w:rPr>
            </w:pPr>
            <w:r>
              <w:rPr>
                <w:rFonts w:ascii="Arial" w:cs="Arial" w:eastAsia="Arial" w:hAnsi="Arial"/>
                <w:sz w:val="15"/>
                <w:szCs w:val="15"/>
                <w:color w:val="auto"/>
              </w:rPr>
              <w:t>22.05%</w:t>
            </w:r>
          </w:p>
        </w:tc>
        <w:tc>
          <w:tcPr>
            <w:tcW w:w="220" w:type="dxa"/>
            <w:vAlign w:val="bottom"/>
            <w:tcBorders>
              <w:bottom w:val="single" w:sz="8" w:color="002F4D"/>
            </w:tcBorders>
          </w:tcPr>
          <w:p>
            <w:pPr>
              <w:spacing w:after="0"/>
              <w:rPr>
                <w:sz w:val="14"/>
                <w:szCs w:val="14"/>
                <w:color w:val="auto"/>
              </w:rPr>
            </w:pPr>
          </w:p>
        </w:tc>
        <w:tc>
          <w:tcPr>
            <w:tcW w:w="640" w:type="dxa"/>
            <w:vAlign w:val="bottom"/>
            <w:tcBorders>
              <w:bottom w:val="single" w:sz="8" w:color="002F4D"/>
            </w:tcBorders>
          </w:tcPr>
          <w:p>
            <w:pPr>
              <w:jc w:val="right"/>
              <w:ind w:right="24"/>
              <w:spacing w:after="0" w:line="169" w:lineRule="exact"/>
              <w:rPr>
                <w:sz w:val="20"/>
                <w:szCs w:val="20"/>
                <w:color w:val="auto"/>
              </w:rPr>
            </w:pPr>
            <w:r>
              <w:rPr>
                <w:rFonts w:ascii="Arial" w:cs="Arial" w:eastAsia="Arial" w:hAnsi="Arial"/>
                <w:sz w:val="15"/>
                <w:szCs w:val="15"/>
                <w:color w:val="auto"/>
              </w:rPr>
              <w:t>22.30%</w:t>
            </w:r>
          </w:p>
        </w:tc>
        <w:tc>
          <w:tcPr>
            <w:tcW w:w="820" w:type="dxa"/>
            <w:vAlign w:val="bottom"/>
            <w:tcBorders>
              <w:bottom w:val="single" w:sz="8" w:color="002F4D"/>
            </w:tcBorders>
          </w:tcPr>
          <w:p>
            <w:pPr>
              <w:jc w:val="right"/>
              <w:ind w:right="24"/>
              <w:spacing w:after="0" w:line="169" w:lineRule="exact"/>
              <w:rPr>
                <w:sz w:val="20"/>
                <w:szCs w:val="20"/>
                <w:color w:val="auto"/>
              </w:rPr>
            </w:pPr>
            <w:r>
              <w:rPr>
                <w:rFonts w:ascii="Arial" w:cs="Arial" w:eastAsia="Arial" w:hAnsi="Arial"/>
                <w:sz w:val="15"/>
                <w:szCs w:val="15"/>
                <w:color w:val="auto"/>
              </w:rPr>
              <w:t>22.55%</w:t>
            </w:r>
          </w:p>
        </w:tc>
        <w:tc>
          <w:tcPr>
            <w:tcW w:w="240" w:type="dxa"/>
            <w:vAlign w:val="bottom"/>
            <w:tcBorders>
              <w:bottom w:val="single" w:sz="8" w:color="002F4D"/>
            </w:tcBorders>
          </w:tcPr>
          <w:p>
            <w:pPr>
              <w:spacing w:after="0"/>
              <w:rPr>
                <w:sz w:val="14"/>
                <w:szCs w:val="14"/>
                <w:color w:val="auto"/>
              </w:rPr>
            </w:pPr>
          </w:p>
        </w:tc>
        <w:tc>
          <w:tcPr>
            <w:tcW w:w="660" w:type="dxa"/>
            <w:vAlign w:val="bottom"/>
            <w:tcBorders>
              <w:bottom w:val="single" w:sz="8" w:color="002F4D"/>
            </w:tcBorders>
          </w:tcPr>
          <w:p>
            <w:pPr>
              <w:jc w:val="right"/>
              <w:ind w:right="24"/>
              <w:spacing w:after="0" w:line="169" w:lineRule="exact"/>
              <w:rPr>
                <w:sz w:val="20"/>
                <w:szCs w:val="20"/>
                <w:color w:val="auto"/>
              </w:rPr>
            </w:pPr>
            <w:r>
              <w:rPr>
                <w:rFonts w:ascii="Arial" w:cs="Arial" w:eastAsia="Arial" w:hAnsi="Arial"/>
                <w:sz w:val="15"/>
                <w:szCs w:val="15"/>
                <w:color w:val="auto"/>
              </w:rPr>
              <w:t>22.80%</w:t>
            </w:r>
          </w:p>
        </w:tc>
        <w:tc>
          <w:tcPr>
            <w:tcW w:w="220" w:type="dxa"/>
            <w:vAlign w:val="bottom"/>
            <w:tcBorders>
              <w:bottom w:val="single" w:sz="8" w:color="002F4D"/>
            </w:tcBorders>
          </w:tcPr>
          <w:p>
            <w:pPr>
              <w:spacing w:after="0"/>
              <w:rPr>
                <w:sz w:val="14"/>
                <w:szCs w:val="14"/>
                <w:color w:val="auto"/>
              </w:rPr>
            </w:pPr>
          </w:p>
        </w:tc>
        <w:tc>
          <w:tcPr>
            <w:tcW w:w="640" w:type="dxa"/>
            <w:vAlign w:val="bottom"/>
            <w:tcBorders>
              <w:bottom w:val="single" w:sz="8" w:color="002F4D"/>
            </w:tcBorders>
          </w:tcPr>
          <w:p>
            <w:pPr>
              <w:jc w:val="right"/>
              <w:ind w:right="24"/>
              <w:spacing w:after="0" w:line="169" w:lineRule="exact"/>
              <w:rPr>
                <w:sz w:val="20"/>
                <w:szCs w:val="20"/>
                <w:color w:val="auto"/>
              </w:rPr>
            </w:pPr>
            <w:r>
              <w:rPr>
                <w:rFonts w:ascii="Arial" w:cs="Arial" w:eastAsia="Arial" w:hAnsi="Arial"/>
                <w:sz w:val="15"/>
                <w:szCs w:val="15"/>
                <w:color w:val="auto"/>
              </w:rPr>
              <w:t>20.28%</w:t>
            </w:r>
          </w:p>
        </w:tc>
        <w:tc>
          <w:tcPr>
            <w:tcW w:w="220" w:type="dxa"/>
            <w:vAlign w:val="bottom"/>
            <w:tcBorders>
              <w:bottom w:val="single" w:sz="8" w:color="002F4D"/>
            </w:tcBorders>
          </w:tcPr>
          <w:p>
            <w:pPr>
              <w:spacing w:after="0"/>
              <w:rPr>
                <w:sz w:val="14"/>
                <w:szCs w:val="14"/>
                <w:color w:val="auto"/>
              </w:rPr>
            </w:pPr>
          </w:p>
        </w:tc>
        <w:tc>
          <w:tcPr>
            <w:tcW w:w="640" w:type="dxa"/>
            <w:vAlign w:val="bottom"/>
            <w:tcBorders>
              <w:bottom w:val="single" w:sz="8" w:color="002F4D"/>
            </w:tcBorders>
          </w:tcPr>
          <w:p>
            <w:pPr>
              <w:jc w:val="right"/>
              <w:ind w:right="24"/>
              <w:spacing w:after="0" w:line="169" w:lineRule="exact"/>
              <w:rPr>
                <w:sz w:val="20"/>
                <w:szCs w:val="20"/>
                <w:color w:val="auto"/>
              </w:rPr>
            </w:pPr>
            <w:r>
              <w:rPr>
                <w:rFonts w:ascii="Arial" w:cs="Arial" w:eastAsia="Arial" w:hAnsi="Arial"/>
                <w:sz w:val="15"/>
                <w:szCs w:val="15"/>
                <w:color w:val="auto"/>
              </w:rPr>
              <w:t>20.24%</w:t>
            </w:r>
          </w:p>
        </w:tc>
        <w:tc>
          <w:tcPr>
            <w:tcW w:w="1300" w:type="dxa"/>
            <w:vAlign w:val="bottom"/>
            <w:tcBorders>
              <w:bottom w:val="single" w:sz="8" w:color="002F4D"/>
            </w:tcBorders>
          </w:tcPr>
          <w:p>
            <w:pPr>
              <w:spacing w:after="0"/>
              <w:rPr>
                <w:sz w:val="14"/>
                <w:szCs w:val="14"/>
                <w:color w:val="auto"/>
              </w:rPr>
            </w:pPr>
          </w:p>
        </w:tc>
      </w:tr>
      <w:tr>
        <w:trPr>
          <w:trHeight w:val="175"/>
        </w:trPr>
        <w:tc>
          <w:tcPr>
            <w:tcW w:w="288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color w:val="auto"/>
              </w:rPr>
              <w:t>Percentage of Base Salary</w:t>
            </w:r>
          </w:p>
        </w:tc>
        <w:tc>
          <w:tcPr>
            <w:tcW w:w="1840" w:type="dxa"/>
            <w:vAlign w:val="bottom"/>
            <w:tcBorders>
              <w:bottom w:val="single" w:sz="8" w:color="002F4D"/>
            </w:tcBorders>
          </w:tcPr>
          <w:p>
            <w:pPr>
              <w:spacing w:after="0"/>
              <w:rPr>
                <w:sz w:val="15"/>
                <w:szCs w:val="15"/>
                <w:color w:val="auto"/>
              </w:rPr>
            </w:pPr>
          </w:p>
        </w:tc>
        <w:tc>
          <w:tcPr>
            <w:tcW w:w="240" w:type="dxa"/>
            <w:vAlign w:val="bottom"/>
            <w:tcBorders>
              <w:bottom w:val="single" w:sz="8" w:color="002F4D"/>
            </w:tcBorders>
          </w:tcPr>
          <w:p>
            <w:pPr>
              <w:spacing w:after="0"/>
              <w:rPr>
                <w:sz w:val="15"/>
                <w:szCs w:val="15"/>
                <w:color w:val="auto"/>
              </w:rPr>
            </w:pPr>
          </w:p>
        </w:tc>
        <w:tc>
          <w:tcPr>
            <w:tcW w:w="680" w:type="dxa"/>
            <w:vAlign w:val="bottom"/>
            <w:tcBorders>
              <w:bottom w:val="single" w:sz="8" w:color="002F4D"/>
            </w:tcBorders>
          </w:tcPr>
          <w:p>
            <w:pPr>
              <w:jc w:val="right"/>
              <w:ind w:right="24"/>
              <w:spacing w:after="0" w:line="169" w:lineRule="exact"/>
              <w:rPr>
                <w:sz w:val="20"/>
                <w:szCs w:val="20"/>
                <w:color w:val="auto"/>
              </w:rPr>
            </w:pPr>
            <w:r>
              <w:rPr>
                <w:rFonts w:ascii="Arial" w:cs="Arial" w:eastAsia="Arial" w:hAnsi="Arial"/>
                <w:sz w:val="15"/>
                <w:szCs w:val="15"/>
                <w:color w:val="auto"/>
              </w:rPr>
              <w:t>18%</w:t>
            </w:r>
          </w:p>
        </w:tc>
        <w:tc>
          <w:tcPr>
            <w:tcW w:w="220" w:type="dxa"/>
            <w:vAlign w:val="bottom"/>
            <w:tcBorders>
              <w:bottom w:val="single" w:sz="8" w:color="002F4D"/>
            </w:tcBorders>
          </w:tcPr>
          <w:p>
            <w:pPr>
              <w:spacing w:after="0"/>
              <w:rPr>
                <w:sz w:val="15"/>
                <w:szCs w:val="15"/>
                <w:color w:val="auto"/>
              </w:rPr>
            </w:pPr>
          </w:p>
        </w:tc>
        <w:tc>
          <w:tcPr>
            <w:tcW w:w="640" w:type="dxa"/>
            <w:vAlign w:val="bottom"/>
            <w:tcBorders>
              <w:bottom w:val="single" w:sz="8" w:color="002F4D"/>
            </w:tcBorders>
          </w:tcPr>
          <w:p>
            <w:pPr>
              <w:jc w:val="right"/>
              <w:ind w:right="24"/>
              <w:spacing w:after="0" w:line="169" w:lineRule="exact"/>
              <w:rPr>
                <w:sz w:val="20"/>
                <w:szCs w:val="20"/>
                <w:color w:val="auto"/>
              </w:rPr>
            </w:pPr>
            <w:r>
              <w:rPr>
                <w:rFonts w:ascii="Arial" w:cs="Arial" w:eastAsia="Arial" w:hAnsi="Arial"/>
                <w:sz w:val="15"/>
                <w:szCs w:val="15"/>
                <w:color w:val="auto"/>
              </w:rPr>
              <w:t>35%</w:t>
            </w:r>
          </w:p>
        </w:tc>
        <w:tc>
          <w:tcPr>
            <w:tcW w:w="820" w:type="dxa"/>
            <w:vAlign w:val="bottom"/>
            <w:tcBorders>
              <w:bottom w:val="single" w:sz="8" w:color="002F4D"/>
            </w:tcBorders>
          </w:tcPr>
          <w:p>
            <w:pPr>
              <w:jc w:val="right"/>
              <w:ind w:right="24"/>
              <w:spacing w:after="0" w:line="169" w:lineRule="exact"/>
              <w:rPr>
                <w:sz w:val="20"/>
                <w:szCs w:val="20"/>
                <w:color w:val="auto"/>
              </w:rPr>
            </w:pPr>
            <w:r>
              <w:rPr>
                <w:rFonts w:ascii="Arial" w:cs="Arial" w:eastAsia="Arial" w:hAnsi="Arial"/>
                <w:sz w:val="15"/>
                <w:szCs w:val="15"/>
                <w:color w:val="auto"/>
              </w:rPr>
              <w:t>53%</w:t>
            </w:r>
          </w:p>
        </w:tc>
        <w:tc>
          <w:tcPr>
            <w:tcW w:w="240" w:type="dxa"/>
            <w:vAlign w:val="bottom"/>
            <w:tcBorders>
              <w:bottom w:val="single" w:sz="8" w:color="002F4D"/>
            </w:tcBorders>
          </w:tcPr>
          <w:p>
            <w:pPr>
              <w:spacing w:after="0"/>
              <w:rPr>
                <w:sz w:val="15"/>
                <w:szCs w:val="15"/>
                <w:color w:val="auto"/>
              </w:rPr>
            </w:pPr>
          </w:p>
        </w:tc>
        <w:tc>
          <w:tcPr>
            <w:tcW w:w="660" w:type="dxa"/>
            <w:vAlign w:val="bottom"/>
            <w:tcBorders>
              <w:bottom w:val="single" w:sz="8" w:color="002F4D"/>
            </w:tcBorders>
          </w:tcPr>
          <w:p>
            <w:pPr>
              <w:jc w:val="right"/>
              <w:ind w:right="24"/>
              <w:spacing w:after="0" w:line="169" w:lineRule="exact"/>
              <w:rPr>
                <w:sz w:val="20"/>
                <w:szCs w:val="20"/>
                <w:color w:val="auto"/>
              </w:rPr>
            </w:pPr>
            <w:r>
              <w:rPr>
                <w:rFonts w:ascii="Arial" w:cs="Arial" w:eastAsia="Arial" w:hAnsi="Arial"/>
                <w:sz w:val="15"/>
                <w:szCs w:val="15"/>
                <w:color w:val="auto"/>
              </w:rPr>
              <w:t>70%</w:t>
            </w:r>
          </w:p>
        </w:tc>
        <w:tc>
          <w:tcPr>
            <w:tcW w:w="220" w:type="dxa"/>
            <w:vAlign w:val="bottom"/>
            <w:tcBorders>
              <w:bottom w:val="single" w:sz="8" w:color="002F4D"/>
            </w:tcBorders>
          </w:tcPr>
          <w:p>
            <w:pPr>
              <w:spacing w:after="0"/>
              <w:rPr>
                <w:sz w:val="15"/>
                <w:szCs w:val="15"/>
                <w:color w:val="auto"/>
              </w:rPr>
            </w:pPr>
          </w:p>
        </w:tc>
        <w:tc>
          <w:tcPr>
            <w:tcW w:w="640" w:type="dxa"/>
            <w:vAlign w:val="bottom"/>
            <w:tcBorders>
              <w:bottom w:val="single" w:sz="8" w:color="002F4D"/>
            </w:tcBorders>
          </w:tcPr>
          <w:p>
            <w:pPr>
              <w:spacing w:after="0"/>
              <w:rPr>
                <w:sz w:val="15"/>
                <w:szCs w:val="15"/>
                <w:color w:val="auto"/>
              </w:rPr>
            </w:pPr>
          </w:p>
        </w:tc>
        <w:tc>
          <w:tcPr>
            <w:tcW w:w="220" w:type="dxa"/>
            <w:vAlign w:val="bottom"/>
            <w:tcBorders>
              <w:bottom w:val="single" w:sz="8" w:color="002F4D"/>
            </w:tcBorders>
          </w:tcPr>
          <w:p>
            <w:pPr>
              <w:spacing w:after="0"/>
              <w:rPr>
                <w:sz w:val="15"/>
                <w:szCs w:val="15"/>
                <w:color w:val="auto"/>
              </w:rPr>
            </w:pPr>
          </w:p>
        </w:tc>
        <w:tc>
          <w:tcPr>
            <w:tcW w:w="640" w:type="dxa"/>
            <w:vAlign w:val="bottom"/>
            <w:tcBorders>
              <w:bottom w:val="single" w:sz="8" w:color="002F4D"/>
            </w:tcBorders>
          </w:tcPr>
          <w:p>
            <w:pPr>
              <w:spacing w:after="0"/>
              <w:rPr>
                <w:sz w:val="15"/>
                <w:szCs w:val="15"/>
                <w:color w:val="auto"/>
              </w:rPr>
            </w:pPr>
          </w:p>
        </w:tc>
        <w:tc>
          <w:tcPr>
            <w:tcW w:w="1300" w:type="dxa"/>
            <w:vAlign w:val="bottom"/>
            <w:tcBorders>
              <w:bottom w:val="single" w:sz="8" w:color="002F4D"/>
            </w:tcBorders>
          </w:tcPr>
          <w:p>
            <w:pPr>
              <w:jc w:val="right"/>
              <w:ind w:right="24"/>
              <w:spacing w:after="0" w:line="169" w:lineRule="exact"/>
              <w:rPr>
                <w:sz w:val="20"/>
                <w:szCs w:val="20"/>
                <w:color w:val="auto"/>
              </w:rPr>
            </w:pPr>
            <w:r>
              <w:rPr>
                <w:rFonts w:ascii="Arial" w:cs="Arial" w:eastAsia="Arial" w:hAnsi="Arial"/>
                <w:sz w:val="15"/>
                <w:szCs w:val="15"/>
                <w:color w:val="auto"/>
              </w:rPr>
              <w:t>0%</w:t>
            </w:r>
          </w:p>
        </w:tc>
      </w:tr>
    </w:tbl>
    <w:p>
      <w:pPr>
        <w:spacing w:after="0" w:line="56" w:lineRule="exact"/>
        <w:rPr>
          <w:sz w:val="20"/>
          <w:szCs w:val="20"/>
          <w:color w:val="auto"/>
        </w:rPr>
      </w:pPr>
    </w:p>
    <w:p>
      <w:pPr>
        <w:ind w:left="300" w:hanging="299"/>
        <w:spacing w:after="0" w:line="252" w:lineRule="auto"/>
        <w:tabs>
          <w:tab w:leader="none" w:pos="3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When applicable, EBITDA$and EBITDA% Annual Performance-Based Cash Compensation is calculated based upon the percentage of base salary at the adjusted result, calculated on a linear basis between the performance targets.</w:t>
      </w:r>
    </w:p>
    <w:p>
      <w:pPr>
        <w:spacing w:after="0" w:line="1" w:lineRule="exact"/>
        <w:rPr>
          <w:sz w:val="20"/>
          <w:szCs w:val="20"/>
          <w:color w:val="auto"/>
        </w:rPr>
      </w:pPr>
    </w:p>
    <w:p>
      <w:pPr>
        <w:jc w:val="both"/>
        <w:ind w:left="300" w:hanging="299"/>
        <w:spacing w:after="0" w:line="259" w:lineRule="auto"/>
        <w:tabs>
          <w:tab w:leader="none" w:pos="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EBITDA$and EBITDA% are not prepared in accordance with GAAP. For a reconciliation of EBITDA$to the most directly comparable GAAP financial measure and insight into how these non-GAAP measures are considered by management, please see Annex A, where EBITDA$is referred to as Adjusted EBITDA. EBITDA% is calculated as EBITDA$divided by GAAP revenue.</w:t>
      </w:r>
    </w:p>
    <w:p>
      <w:pPr>
        <w:spacing w:after="0" w:line="29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3"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For fiscal year 2025, the Compensation Committee determined that the EBITDA$ and EBITDA% performance metrics had results as set forth in the table above. Results were evaluated based on an as reported basis in US dollars. The Compensation Committee determined the EBITDA$ achieved amounted to $797 million and the EBITDA% performance amounted to 20.24%. The Compensation Committee exercised discretion to reduce achievement of the performance metrics by taking into account the effects of certain non-recurring expenses. After adjustment taking into account these factors, the Compensation Committee approved the EBITDA$ and EBITDA% performance metrics as reduced in the table above, resulting in annual performance-based cash compensation to the NEOs for the EBITDA$ performance metric at 0% of base salary and for the EBITDA% performance metric at 0% of base salary. Absent such adjustments, the annual performance-based cash compensation for the NEOs for performance during fiscal year 2025 would have been as follows: Mr. FitzGerald $0, Mr. Mittelman $0, Mr. Pool $0, Mr. Spittle $0, and Mr. Fuchsen $0.</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560" w:type="dxa"/>
            <w:vAlign w:val="bottom"/>
          </w:tcPr>
          <w:p>
            <w:pPr>
              <w:spacing w:after="0"/>
              <w:rPr>
                <w:sz w:val="15"/>
                <w:szCs w:val="15"/>
                <w:color w:val="auto"/>
              </w:rPr>
            </w:pPr>
          </w:p>
        </w:tc>
        <w:tc>
          <w:tcPr>
            <w:tcW w:w="4680" w:type="dxa"/>
            <w:vAlign w:val="bottom"/>
            <w:gridSpan w:val="2"/>
          </w:tcPr>
          <w:p>
            <w:pPr>
              <w:jc w:val="right"/>
              <w:ind w:right="24"/>
              <w:spacing w:after="0"/>
              <w:rPr>
                <w:sz w:val="20"/>
                <w:szCs w:val="20"/>
                <w:color w:val="auto"/>
              </w:rPr>
            </w:pPr>
            <w:r>
              <w:rPr>
                <w:rFonts w:ascii="Arial" w:cs="Arial" w:eastAsia="Arial" w:hAnsi="Arial"/>
                <w:sz w:val="15"/>
                <w:szCs w:val="15"/>
                <w:b w:val="1"/>
                <w:bCs w:val="1"/>
                <w:color w:val="00304D"/>
              </w:rPr>
              <w:t>Annual Performance-Based</w:t>
            </w:r>
          </w:p>
        </w:tc>
      </w:tr>
      <w:tr>
        <w:trPr>
          <w:trHeight w:val="189"/>
        </w:trPr>
        <w:tc>
          <w:tcPr>
            <w:tcW w:w="656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00304D"/>
              </w:rPr>
              <w:t>Named Executive Officer</w:t>
            </w:r>
          </w:p>
        </w:tc>
        <w:tc>
          <w:tcPr>
            <w:tcW w:w="4680" w:type="dxa"/>
            <w:vAlign w:val="bottom"/>
            <w:tcBorders>
              <w:bottom w:val="single" w:sz="8" w:color="002F4D"/>
            </w:tcBorders>
            <w:gridSpan w:val="2"/>
          </w:tcPr>
          <w:p>
            <w:pPr>
              <w:jc w:val="right"/>
              <w:ind w:right="4"/>
              <w:spacing w:after="0"/>
              <w:rPr>
                <w:sz w:val="20"/>
                <w:szCs w:val="20"/>
                <w:color w:val="auto"/>
              </w:rPr>
            </w:pPr>
            <w:r>
              <w:rPr>
                <w:rFonts w:ascii="Arial" w:cs="Arial" w:eastAsia="Arial" w:hAnsi="Arial"/>
                <w:sz w:val="15"/>
                <w:szCs w:val="15"/>
                <w:b w:val="1"/>
                <w:bCs w:val="1"/>
                <w:color w:val="00304D"/>
              </w:rPr>
              <w:t>Cash Compensation for 2025</w:t>
            </w:r>
          </w:p>
        </w:tc>
      </w:tr>
      <w:tr>
        <w:trPr>
          <w:trHeight w:val="182"/>
        </w:trPr>
        <w:tc>
          <w:tcPr>
            <w:tcW w:w="656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Timothy J. FitzGerald (CEO)</w:t>
            </w:r>
          </w:p>
        </w:tc>
        <w:tc>
          <w:tcPr>
            <w:tcW w:w="4080" w:type="dxa"/>
            <w:vAlign w:val="bottom"/>
            <w:tcBorders>
              <w:bottom w:val="single" w:sz="8" w:color="002F4D"/>
            </w:tcBorders>
          </w:tcPr>
          <w:p>
            <w:pPr>
              <w:jc w:val="right"/>
              <w:ind w:right="344"/>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0</w:t>
            </w:r>
          </w:p>
        </w:tc>
      </w:tr>
      <w:tr>
        <w:trPr>
          <w:trHeight w:val="182"/>
        </w:trPr>
        <w:tc>
          <w:tcPr>
            <w:tcW w:w="656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Bryan E. Mittelman (CFO)</w:t>
            </w:r>
          </w:p>
        </w:tc>
        <w:tc>
          <w:tcPr>
            <w:tcW w:w="4080" w:type="dxa"/>
            <w:vAlign w:val="bottom"/>
            <w:tcBorders>
              <w:bottom w:val="single" w:sz="8" w:color="002F4D"/>
            </w:tcBorders>
          </w:tcPr>
          <w:p>
            <w:pPr>
              <w:jc w:val="right"/>
              <w:ind w:right="344"/>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0</w:t>
            </w:r>
          </w:p>
        </w:tc>
      </w:tr>
      <w:tr>
        <w:trPr>
          <w:trHeight w:val="182"/>
        </w:trPr>
        <w:tc>
          <w:tcPr>
            <w:tcW w:w="656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James K. Pool III (Chief Technology and Operations Officer)</w:t>
            </w:r>
          </w:p>
        </w:tc>
        <w:tc>
          <w:tcPr>
            <w:tcW w:w="4080" w:type="dxa"/>
            <w:vAlign w:val="bottom"/>
            <w:tcBorders>
              <w:bottom w:val="single" w:sz="8" w:color="002F4D"/>
            </w:tcBorders>
          </w:tcPr>
          <w:p>
            <w:pPr>
              <w:jc w:val="right"/>
              <w:ind w:right="344"/>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0</w:t>
            </w:r>
          </w:p>
        </w:tc>
      </w:tr>
      <w:tr>
        <w:trPr>
          <w:trHeight w:val="182"/>
        </w:trPr>
        <w:tc>
          <w:tcPr>
            <w:tcW w:w="656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Steven P. Spittle (Chief Commercial Officer)</w:t>
            </w:r>
          </w:p>
        </w:tc>
        <w:tc>
          <w:tcPr>
            <w:tcW w:w="4080" w:type="dxa"/>
            <w:vAlign w:val="bottom"/>
            <w:tcBorders>
              <w:bottom w:val="single" w:sz="8" w:color="002F4D"/>
            </w:tcBorders>
          </w:tcPr>
          <w:p>
            <w:pPr>
              <w:jc w:val="right"/>
              <w:ind w:right="344"/>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0</w:t>
            </w:r>
          </w:p>
        </w:tc>
      </w:tr>
      <w:tr>
        <w:trPr>
          <w:trHeight w:val="187"/>
        </w:trPr>
        <w:tc>
          <w:tcPr>
            <w:tcW w:w="656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Matthew R. Fuchsen (Chief Development Officer)</w:t>
            </w:r>
          </w:p>
        </w:tc>
        <w:tc>
          <w:tcPr>
            <w:tcW w:w="4080" w:type="dxa"/>
            <w:vAlign w:val="bottom"/>
            <w:tcBorders>
              <w:bottom w:val="single" w:sz="8" w:color="002F4D"/>
            </w:tcBorders>
          </w:tcPr>
          <w:p>
            <w:pPr>
              <w:jc w:val="right"/>
              <w:ind w:right="344"/>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0</w:t>
            </w:r>
          </w:p>
        </w:tc>
      </w:tr>
    </w:tbl>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For 2025, the annual-performance based cash compensation earned by the NEOs at 0% of target demonstrates the alignment of the Company’s annual incentive compensation with the Company’s short-term performance and the interests of the Company’s stockholders.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5E7C"/>
        </w:rPr>
        <w:t>Equity-Based Incentive Compensation</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We believe that our LTI structure is consistent with leading governance practices, serves as an effective reference for senior managers when making decisions for their respective operations, and further aligns management with stockholder interests.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The LTI award granted to the NEOs in fiscal year 2025 contained all of the features of the current LTI program described above and summarized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00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00304D"/>
              </w:rPr>
              <w:t>Component</w:t>
            </w:r>
          </w:p>
        </w:tc>
        <w:tc>
          <w:tcPr>
            <w:tcW w:w="8240" w:type="dxa"/>
            <w:vAlign w:val="bottom"/>
            <w:tcBorders>
              <w:bottom w:val="single" w:sz="8" w:color="002F4D"/>
            </w:tcBorders>
            <w:gridSpan w:val="2"/>
          </w:tcPr>
          <w:p>
            <w:pPr>
              <w:ind w:left="620"/>
              <w:spacing w:after="0"/>
              <w:rPr>
                <w:sz w:val="20"/>
                <w:szCs w:val="20"/>
                <w:color w:val="auto"/>
              </w:rPr>
            </w:pPr>
            <w:r>
              <w:rPr>
                <w:rFonts w:ascii="Arial" w:cs="Arial" w:eastAsia="Arial" w:hAnsi="Arial"/>
                <w:sz w:val="15"/>
                <w:szCs w:val="15"/>
                <w:b w:val="1"/>
                <w:bCs w:val="1"/>
                <w:color w:val="00304D"/>
              </w:rPr>
              <w:t>Current LTI Practices</w:t>
            </w:r>
          </w:p>
        </w:tc>
      </w:tr>
      <w:tr>
        <w:trPr>
          <w:trHeight w:val="157"/>
        </w:trPr>
        <w:tc>
          <w:tcPr>
            <w:tcW w:w="3000" w:type="dxa"/>
            <w:vAlign w:val="bottom"/>
          </w:tcPr>
          <w:p>
            <w:pPr>
              <w:ind w:left="60"/>
              <w:spacing w:after="0" w:line="157" w:lineRule="exact"/>
              <w:rPr>
                <w:sz w:val="20"/>
                <w:szCs w:val="20"/>
                <w:color w:val="auto"/>
              </w:rPr>
            </w:pPr>
            <w:r>
              <w:rPr>
                <w:rFonts w:ascii="Arial" w:cs="Arial" w:eastAsia="Arial" w:hAnsi="Arial"/>
                <w:sz w:val="15"/>
                <w:szCs w:val="15"/>
                <w:b w:val="1"/>
                <w:bCs w:val="1"/>
                <w:color w:val="265E7C"/>
              </w:rPr>
              <w:t>Award Type</w:t>
            </w:r>
          </w:p>
        </w:tc>
        <w:tc>
          <w:tcPr>
            <w:tcW w:w="8240" w:type="dxa"/>
            <w:vAlign w:val="bottom"/>
            <w:gridSpan w:val="2"/>
          </w:tcPr>
          <w:p>
            <w:pPr>
              <w:ind w:left="620"/>
              <w:spacing w:after="0" w:line="157" w:lineRule="exact"/>
              <w:rPr>
                <w:sz w:val="20"/>
                <w:szCs w:val="20"/>
                <w:color w:val="auto"/>
              </w:rPr>
            </w:pPr>
            <w:r>
              <w:rPr>
                <w:rFonts w:ascii="Arial" w:cs="Arial" w:eastAsia="Arial" w:hAnsi="Arial"/>
                <w:sz w:val="15"/>
                <w:szCs w:val="15"/>
                <w:color w:val="auto"/>
              </w:rPr>
              <w:t>Performance-based PSUs (2/3 weight)</w:t>
            </w:r>
          </w:p>
        </w:tc>
      </w:tr>
      <w:tr>
        <w:trPr>
          <w:trHeight w:val="200"/>
        </w:trPr>
        <w:tc>
          <w:tcPr>
            <w:tcW w:w="3000" w:type="dxa"/>
            <w:vAlign w:val="bottom"/>
            <w:tcBorders>
              <w:bottom w:val="single" w:sz="8" w:color="002F4D"/>
            </w:tcBorders>
          </w:tcPr>
          <w:p>
            <w:pPr>
              <w:spacing w:after="0"/>
              <w:rPr>
                <w:sz w:val="17"/>
                <w:szCs w:val="17"/>
                <w:color w:val="auto"/>
              </w:rPr>
            </w:pPr>
          </w:p>
        </w:tc>
        <w:tc>
          <w:tcPr>
            <w:tcW w:w="8240" w:type="dxa"/>
            <w:vAlign w:val="bottom"/>
            <w:tcBorders>
              <w:bottom w:val="single" w:sz="8" w:color="002F4D"/>
            </w:tcBorders>
            <w:gridSpan w:val="2"/>
          </w:tcPr>
          <w:p>
            <w:pPr>
              <w:ind w:left="620"/>
              <w:spacing w:after="0"/>
              <w:rPr>
                <w:sz w:val="20"/>
                <w:szCs w:val="20"/>
                <w:color w:val="auto"/>
              </w:rPr>
            </w:pPr>
            <w:r>
              <w:rPr>
                <w:rFonts w:ascii="Arial" w:cs="Arial" w:eastAsia="Arial" w:hAnsi="Arial"/>
                <w:sz w:val="15"/>
                <w:szCs w:val="15"/>
                <w:color w:val="auto"/>
              </w:rPr>
              <w:t>Time-based RSUs (1/3 weight)</w:t>
            </w:r>
          </w:p>
        </w:tc>
      </w:tr>
      <w:tr>
        <w:trPr>
          <w:trHeight w:val="183"/>
        </w:trPr>
        <w:tc>
          <w:tcPr>
            <w:tcW w:w="300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265E7C"/>
              </w:rPr>
              <w:t>Award Timing</w:t>
            </w:r>
          </w:p>
        </w:tc>
        <w:tc>
          <w:tcPr>
            <w:tcW w:w="8240" w:type="dxa"/>
            <w:vAlign w:val="bottom"/>
            <w:tcBorders>
              <w:bottom w:val="single" w:sz="8" w:color="002F4D"/>
            </w:tcBorders>
            <w:gridSpan w:val="2"/>
          </w:tcPr>
          <w:p>
            <w:pPr>
              <w:ind w:left="620"/>
              <w:spacing w:after="0"/>
              <w:rPr>
                <w:sz w:val="20"/>
                <w:szCs w:val="20"/>
                <w:color w:val="auto"/>
              </w:rPr>
            </w:pPr>
            <w:r>
              <w:rPr>
                <w:rFonts w:ascii="Arial" w:cs="Arial" w:eastAsia="Arial" w:hAnsi="Arial"/>
                <w:sz w:val="15"/>
                <w:szCs w:val="15"/>
                <w:color w:val="auto"/>
              </w:rPr>
              <w:t>LTI awards made annually</w:t>
            </w:r>
          </w:p>
        </w:tc>
      </w:tr>
      <w:tr>
        <w:trPr>
          <w:trHeight w:val="182"/>
        </w:trPr>
        <w:tc>
          <w:tcPr>
            <w:tcW w:w="300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265E7C"/>
              </w:rPr>
              <w:t>Term</w:t>
            </w:r>
          </w:p>
        </w:tc>
        <w:tc>
          <w:tcPr>
            <w:tcW w:w="8240" w:type="dxa"/>
            <w:vAlign w:val="bottom"/>
            <w:tcBorders>
              <w:bottom w:val="single" w:sz="8" w:color="002F4D"/>
            </w:tcBorders>
            <w:gridSpan w:val="2"/>
          </w:tcPr>
          <w:p>
            <w:pPr>
              <w:ind w:left="620"/>
              <w:spacing w:after="0"/>
              <w:rPr>
                <w:sz w:val="20"/>
                <w:szCs w:val="20"/>
                <w:color w:val="auto"/>
              </w:rPr>
            </w:pPr>
            <w:r>
              <w:rPr>
                <w:rFonts w:ascii="Arial" w:cs="Arial" w:eastAsia="Arial" w:hAnsi="Arial"/>
                <w:sz w:val="15"/>
                <w:szCs w:val="15"/>
                <w:color w:val="auto"/>
              </w:rPr>
              <w:t>Three years</w:t>
            </w:r>
          </w:p>
        </w:tc>
      </w:tr>
      <w:tr>
        <w:trPr>
          <w:trHeight w:val="157"/>
        </w:trPr>
        <w:tc>
          <w:tcPr>
            <w:tcW w:w="3000" w:type="dxa"/>
            <w:vAlign w:val="bottom"/>
          </w:tcPr>
          <w:p>
            <w:pPr>
              <w:ind w:left="60"/>
              <w:spacing w:after="0" w:line="157" w:lineRule="exact"/>
              <w:rPr>
                <w:sz w:val="20"/>
                <w:szCs w:val="20"/>
                <w:color w:val="auto"/>
              </w:rPr>
            </w:pPr>
            <w:r>
              <w:rPr>
                <w:rFonts w:ascii="Arial" w:cs="Arial" w:eastAsia="Arial" w:hAnsi="Arial"/>
                <w:sz w:val="15"/>
                <w:szCs w:val="15"/>
                <w:b w:val="1"/>
                <w:bCs w:val="1"/>
                <w:color w:val="265E7C"/>
              </w:rPr>
              <w:t>Performance and Vesting Period</w:t>
            </w:r>
          </w:p>
        </w:tc>
        <w:tc>
          <w:tcPr>
            <w:tcW w:w="8240" w:type="dxa"/>
            <w:vAlign w:val="bottom"/>
            <w:gridSpan w:val="2"/>
          </w:tcPr>
          <w:p>
            <w:pPr>
              <w:ind w:left="620"/>
              <w:spacing w:after="0" w:line="157" w:lineRule="exact"/>
              <w:rPr>
                <w:sz w:val="20"/>
                <w:szCs w:val="20"/>
                <w:color w:val="auto"/>
              </w:rPr>
            </w:pPr>
            <w:r>
              <w:rPr>
                <w:rFonts w:ascii="Arial" w:cs="Arial" w:eastAsia="Arial" w:hAnsi="Arial"/>
                <w:sz w:val="15"/>
                <w:szCs w:val="15"/>
                <w:color w:val="auto"/>
              </w:rPr>
              <w:t>Time-based awards: ratable over three years, but shares must be held until the end of the three fiscal year period</w:t>
            </w:r>
          </w:p>
        </w:tc>
      </w:tr>
      <w:tr>
        <w:trPr>
          <w:trHeight w:val="177"/>
        </w:trPr>
        <w:tc>
          <w:tcPr>
            <w:tcW w:w="3000" w:type="dxa"/>
            <w:vAlign w:val="bottom"/>
          </w:tcPr>
          <w:p>
            <w:pPr>
              <w:spacing w:after="0"/>
              <w:rPr>
                <w:sz w:val="15"/>
                <w:szCs w:val="15"/>
                <w:color w:val="auto"/>
              </w:rPr>
            </w:pPr>
          </w:p>
        </w:tc>
        <w:tc>
          <w:tcPr>
            <w:tcW w:w="8240" w:type="dxa"/>
            <w:vAlign w:val="bottom"/>
            <w:gridSpan w:val="2"/>
          </w:tcPr>
          <w:p>
            <w:pPr>
              <w:ind w:left="620"/>
              <w:spacing w:after="0"/>
              <w:rPr>
                <w:sz w:val="20"/>
                <w:szCs w:val="20"/>
                <w:color w:val="auto"/>
              </w:rPr>
            </w:pPr>
            <w:r>
              <w:rPr>
                <w:rFonts w:ascii="Arial" w:cs="Arial" w:eastAsia="Arial" w:hAnsi="Arial"/>
                <w:sz w:val="15"/>
                <w:szCs w:val="15"/>
                <w:color w:val="auto"/>
              </w:rPr>
              <w:t>to which they relate</w:t>
            </w:r>
          </w:p>
        </w:tc>
      </w:tr>
      <w:tr>
        <w:trPr>
          <w:trHeight w:val="189"/>
        </w:trPr>
        <w:tc>
          <w:tcPr>
            <w:tcW w:w="3000" w:type="dxa"/>
            <w:vAlign w:val="bottom"/>
            <w:tcBorders>
              <w:bottom w:val="single" w:sz="8" w:color="002F4D"/>
            </w:tcBorders>
          </w:tcPr>
          <w:p>
            <w:pPr>
              <w:spacing w:after="0"/>
              <w:rPr>
                <w:sz w:val="16"/>
                <w:szCs w:val="16"/>
                <w:color w:val="auto"/>
              </w:rPr>
            </w:pPr>
          </w:p>
        </w:tc>
        <w:tc>
          <w:tcPr>
            <w:tcW w:w="8240" w:type="dxa"/>
            <w:vAlign w:val="bottom"/>
            <w:tcBorders>
              <w:bottom w:val="single" w:sz="8" w:color="002F4D"/>
            </w:tcBorders>
            <w:gridSpan w:val="2"/>
          </w:tcPr>
          <w:p>
            <w:pPr>
              <w:ind w:left="620"/>
              <w:spacing w:after="0"/>
              <w:rPr>
                <w:sz w:val="20"/>
                <w:szCs w:val="20"/>
                <w:color w:val="auto"/>
              </w:rPr>
            </w:pPr>
            <w:r>
              <w:rPr>
                <w:rFonts w:ascii="Arial" w:cs="Arial" w:eastAsia="Arial" w:hAnsi="Arial"/>
                <w:sz w:val="15"/>
                <w:szCs w:val="15"/>
                <w:color w:val="auto"/>
              </w:rPr>
              <w:t>Performance-based awards: cliff vest to the extent earned, at the end of the three-year performance period</w:t>
            </w:r>
          </w:p>
        </w:tc>
      </w:tr>
      <w:tr>
        <w:trPr>
          <w:trHeight w:val="157"/>
        </w:trPr>
        <w:tc>
          <w:tcPr>
            <w:tcW w:w="3000" w:type="dxa"/>
            <w:vAlign w:val="bottom"/>
          </w:tcPr>
          <w:p>
            <w:pPr>
              <w:ind w:left="60"/>
              <w:spacing w:after="0" w:line="157" w:lineRule="exact"/>
              <w:rPr>
                <w:sz w:val="20"/>
                <w:szCs w:val="20"/>
                <w:color w:val="auto"/>
              </w:rPr>
            </w:pPr>
            <w:r>
              <w:rPr>
                <w:rFonts w:ascii="Arial" w:cs="Arial" w:eastAsia="Arial" w:hAnsi="Arial"/>
                <w:sz w:val="15"/>
                <w:szCs w:val="15"/>
                <w:b w:val="1"/>
                <w:bCs w:val="1"/>
                <w:color w:val="265E7C"/>
              </w:rPr>
              <w:t>Performance Criteria</w:t>
            </w:r>
          </w:p>
        </w:tc>
        <w:tc>
          <w:tcPr>
            <w:tcW w:w="8240" w:type="dxa"/>
            <w:vAlign w:val="bottom"/>
            <w:gridSpan w:val="2"/>
          </w:tcPr>
          <w:p>
            <w:pPr>
              <w:ind w:left="620"/>
              <w:spacing w:after="0" w:line="157" w:lineRule="exact"/>
              <w:rPr>
                <w:sz w:val="20"/>
                <w:szCs w:val="20"/>
                <w:color w:val="auto"/>
              </w:rPr>
            </w:pPr>
            <w:r>
              <w:rPr>
                <w:rFonts w:ascii="Arial" w:cs="Arial" w:eastAsia="Arial" w:hAnsi="Arial"/>
                <w:sz w:val="15"/>
                <w:szCs w:val="15"/>
                <w:color w:val="auto"/>
              </w:rPr>
              <w:t>Adjusted EPS Growth (65% weight)</w:t>
            </w:r>
          </w:p>
        </w:tc>
      </w:tr>
      <w:tr>
        <w:trPr>
          <w:trHeight w:val="200"/>
        </w:trPr>
        <w:tc>
          <w:tcPr>
            <w:tcW w:w="3000" w:type="dxa"/>
            <w:vAlign w:val="bottom"/>
            <w:tcBorders>
              <w:bottom w:val="single" w:sz="8" w:color="002F4D"/>
            </w:tcBorders>
          </w:tcPr>
          <w:p>
            <w:pPr>
              <w:spacing w:after="0"/>
              <w:rPr>
                <w:sz w:val="17"/>
                <w:szCs w:val="17"/>
                <w:color w:val="auto"/>
              </w:rPr>
            </w:pPr>
          </w:p>
        </w:tc>
        <w:tc>
          <w:tcPr>
            <w:tcW w:w="8240" w:type="dxa"/>
            <w:vAlign w:val="bottom"/>
            <w:tcBorders>
              <w:bottom w:val="single" w:sz="8" w:color="002F4D"/>
            </w:tcBorders>
            <w:gridSpan w:val="2"/>
          </w:tcPr>
          <w:p>
            <w:pPr>
              <w:ind w:left="620"/>
              <w:spacing w:after="0"/>
              <w:rPr>
                <w:sz w:val="20"/>
                <w:szCs w:val="20"/>
                <w:color w:val="auto"/>
              </w:rPr>
            </w:pPr>
            <w:r>
              <w:rPr>
                <w:rFonts w:ascii="Arial" w:cs="Arial" w:eastAsia="Arial" w:hAnsi="Arial"/>
                <w:sz w:val="15"/>
                <w:szCs w:val="15"/>
                <w:color w:val="auto"/>
              </w:rPr>
              <w:t>Return on Invested Capital (35% weight)</w:t>
            </w:r>
          </w:p>
        </w:tc>
      </w:tr>
      <w:tr>
        <w:trPr>
          <w:trHeight w:val="196"/>
        </w:trPr>
        <w:tc>
          <w:tcPr>
            <w:tcW w:w="3000" w:type="dxa"/>
            <w:vAlign w:val="bottom"/>
          </w:tcPr>
          <w:p>
            <w:pPr>
              <w:ind w:left="60"/>
              <w:spacing w:after="0"/>
              <w:rPr>
                <w:sz w:val="20"/>
                <w:szCs w:val="20"/>
                <w:color w:val="auto"/>
              </w:rPr>
            </w:pPr>
            <w:r>
              <w:rPr>
                <w:rFonts w:ascii="Arial" w:cs="Arial" w:eastAsia="Arial" w:hAnsi="Arial"/>
                <w:sz w:val="15"/>
                <w:szCs w:val="15"/>
                <w:b w:val="1"/>
                <w:bCs w:val="1"/>
                <w:color w:val="265E7C"/>
              </w:rPr>
              <w:t>TSR Modifier</w:t>
            </w:r>
          </w:p>
        </w:tc>
        <w:tc>
          <w:tcPr>
            <w:tcW w:w="720" w:type="dxa"/>
            <w:vAlign w:val="bottom"/>
          </w:tcPr>
          <w:p>
            <w:pPr>
              <w:ind w:left="620"/>
              <w:spacing w:after="0"/>
              <w:rPr>
                <w:sz w:val="20"/>
                <w:szCs w:val="20"/>
                <w:color w:val="auto"/>
              </w:rPr>
            </w:pPr>
            <w:r>
              <w:rPr>
                <w:rFonts w:ascii="Arial" w:cs="Arial" w:eastAsia="Arial" w:hAnsi="Arial"/>
                <w:sz w:val="15"/>
                <w:szCs w:val="15"/>
                <w:b w:val="1"/>
                <w:bCs w:val="1"/>
                <w:color w:val="7496AF"/>
              </w:rPr>
              <w:t>•</w:t>
            </w:r>
          </w:p>
        </w:tc>
        <w:tc>
          <w:tcPr>
            <w:tcW w:w="7520" w:type="dxa"/>
            <w:vAlign w:val="bottom"/>
          </w:tcPr>
          <w:p>
            <w:pPr>
              <w:ind w:left="60"/>
              <w:spacing w:after="0" w:line="197" w:lineRule="exact"/>
              <w:rPr>
                <w:sz w:val="20"/>
                <w:szCs w:val="20"/>
                <w:color w:val="auto"/>
              </w:rPr>
            </w:pPr>
            <w:r>
              <w:rPr>
                <w:rFonts w:ascii="Arial" w:cs="Arial" w:eastAsia="Arial" w:hAnsi="Arial"/>
                <w:sz w:val="14"/>
                <w:szCs w:val="14"/>
                <w:color w:val="auto"/>
              </w:rPr>
              <w:t>Vested performance shares increase by 30% for three-year TSR performance that is at or above the 75</w:t>
            </w:r>
            <w:r>
              <w:rPr>
                <w:rFonts w:ascii="Arial" w:cs="Arial" w:eastAsia="Arial" w:hAnsi="Arial"/>
                <w:sz w:val="22"/>
                <w:szCs w:val="22"/>
                <w:color w:val="auto"/>
                <w:vertAlign w:val="superscript"/>
              </w:rPr>
              <w:t>th</w:t>
            </w:r>
          </w:p>
        </w:tc>
      </w:tr>
      <w:tr>
        <w:trPr>
          <w:trHeight w:val="199"/>
        </w:trPr>
        <w:tc>
          <w:tcPr>
            <w:tcW w:w="3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520" w:type="dxa"/>
            <w:vAlign w:val="bottom"/>
          </w:tcPr>
          <w:p>
            <w:pPr>
              <w:ind w:left="60"/>
              <w:spacing w:after="0"/>
              <w:rPr>
                <w:sz w:val="20"/>
                <w:szCs w:val="20"/>
                <w:color w:val="auto"/>
              </w:rPr>
            </w:pPr>
            <w:r>
              <w:rPr>
                <w:rFonts w:ascii="Arial" w:cs="Arial" w:eastAsia="Arial" w:hAnsi="Arial"/>
                <w:sz w:val="15"/>
                <w:szCs w:val="15"/>
                <w:color w:val="auto"/>
              </w:rPr>
              <w:t>percentile versus the Peer Group</w:t>
            </w:r>
          </w:p>
        </w:tc>
      </w:tr>
      <w:tr>
        <w:trPr>
          <w:trHeight w:val="268"/>
        </w:trPr>
        <w:tc>
          <w:tcPr>
            <w:tcW w:w="3000" w:type="dxa"/>
            <w:vAlign w:val="bottom"/>
          </w:tcPr>
          <w:p>
            <w:pPr>
              <w:spacing w:after="0"/>
              <w:rPr>
                <w:sz w:val="23"/>
                <w:szCs w:val="23"/>
                <w:color w:val="auto"/>
              </w:rPr>
            </w:pPr>
          </w:p>
        </w:tc>
        <w:tc>
          <w:tcPr>
            <w:tcW w:w="720" w:type="dxa"/>
            <w:vAlign w:val="bottom"/>
          </w:tcPr>
          <w:p>
            <w:pPr>
              <w:ind w:left="620"/>
              <w:spacing w:after="0"/>
              <w:rPr>
                <w:sz w:val="20"/>
                <w:szCs w:val="20"/>
                <w:color w:val="auto"/>
              </w:rPr>
            </w:pPr>
            <w:r>
              <w:rPr>
                <w:rFonts w:ascii="Arial" w:cs="Arial" w:eastAsia="Arial" w:hAnsi="Arial"/>
                <w:sz w:val="15"/>
                <w:szCs w:val="15"/>
                <w:b w:val="1"/>
                <w:bCs w:val="1"/>
                <w:color w:val="7496AF"/>
              </w:rPr>
              <w:t>•</w:t>
            </w:r>
          </w:p>
        </w:tc>
        <w:tc>
          <w:tcPr>
            <w:tcW w:w="7520" w:type="dxa"/>
            <w:vAlign w:val="bottom"/>
          </w:tcPr>
          <w:p>
            <w:pPr>
              <w:ind w:left="60"/>
              <w:spacing w:after="0" w:line="268" w:lineRule="exact"/>
              <w:rPr>
                <w:sz w:val="20"/>
                <w:szCs w:val="20"/>
                <w:color w:val="auto"/>
              </w:rPr>
            </w:pPr>
            <w:r>
              <w:rPr>
                <w:rFonts w:ascii="Arial" w:cs="Arial" w:eastAsia="Arial" w:hAnsi="Arial"/>
                <w:sz w:val="15"/>
                <w:szCs w:val="15"/>
                <w:color w:val="auto"/>
              </w:rPr>
              <w:t>Vested performance shares are unchanged for three-year TSR performance that is between the 25</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and 75</w:t>
            </w:r>
            <w:r>
              <w:rPr>
                <w:rFonts w:ascii="Arial" w:cs="Arial" w:eastAsia="Arial" w:hAnsi="Arial"/>
                <w:sz w:val="25"/>
                <w:szCs w:val="25"/>
                <w:color w:val="auto"/>
                <w:vertAlign w:val="superscript"/>
              </w:rPr>
              <w:t>th</w:t>
            </w:r>
          </w:p>
        </w:tc>
      </w:tr>
      <w:tr>
        <w:trPr>
          <w:trHeight w:val="199"/>
        </w:trPr>
        <w:tc>
          <w:tcPr>
            <w:tcW w:w="3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520" w:type="dxa"/>
            <w:vAlign w:val="bottom"/>
          </w:tcPr>
          <w:p>
            <w:pPr>
              <w:ind w:left="60"/>
              <w:spacing w:after="0"/>
              <w:rPr>
                <w:sz w:val="20"/>
                <w:szCs w:val="20"/>
                <w:color w:val="auto"/>
              </w:rPr>
            </w:pPr>
            <w:r>
              <w:rPr>
                <w:rFonts w:ascii="Arial" w:cs="Arial" w:eastAsia="Arial" w:hAnsi="Arial"/>
                <w:sz w:val="15"/>
                <w:szCs w:val="15"/>
                <w:color w:val="auto"/>
              </w:rPr>
              <w:t>percentile versus Peer Group</w:t>
            </w:r>
          </w:p>
        </w:tc>
      </w:tr>
      <w:tr>
        <w:trPr>
          <w:trHeight w:val="268"/>
        </w:trPr>
        <w:tc>
          <w:tcPr>
            <w:tcW w:w="3000" w:type="dxa"/>
            <w:vAlign w:val="bottom"/>
          </w:tcPr>
          <w:p>
            <w:pPr>
              <w:spacing w:after="0"/>
              <w:rPr>
                <w:sz w:val="23"/>
                <w:szCs w:val="23"/>
                <w:color w:val="auto"/>
              </w:rPr>
            </w:pPr>
          </w:p>
        </w:tc>
        <w:tc>
          <w:tcPr>
            <w:tcW w:w="720" w:type="dxa"/>
            <w:vAlign w:val="bottom"/>
          </w:tcPr>
          <w:p>
            <w:pPr>
              <w:ind w:left="620"/>
              <w:spacing w:after="0"/>
              <w:rPr>
                <w:sz w:val="20"/>
                <w:szCs w:val="20"/>
                <w:color w:val="auto"/>
              </w:rPr>
            </w:pPr>
            <w:r>
              <w:rPr>
                <w:rFonts w:ascii="Arial" w:cs="Arial" w:eastAsia="Arial" w:hAnsi="Arial"/>
                <w:sz w:val="15"/>
                <w:szCs w:val="15"/>
                <w:b w:val="1"/>
                <w:bCs w:val="1"/>
                <w:color w:val="7496AF"/>
              </w:rPr>
              <w:t>•</w:t>
            </w:r>
          </w:p>
        </w:tc>
        <w:tc>
          <w:tcPr>
            <w:tcW w:w="7520" w:type="dxa"/>
            <w:vAlign w:val="bottom"/>
          </w:tcPr>
          <w:p>
            <w:pPr>
              <w:ind w:left="60"/>
              <w:spacing w:after="0" w:line="268" w:lineRule="exact"/>
              <w:rPr>
                <w:sz w:val="20"/>
                <w:szCs w:val="20"/>
                <w:color w:val="auto"/>
              </w:rPr>
            </w:pPr>
            <w:r>
              <w:rPr>
                <w:rFonts w:ascii="Arial" w:cs="Arial" w:eastAsia="Arial" w:hAnsi="Arial"/>
                <w:sz w:val="15"/>
                <w:szCs w:val="15"/>
                <w:color w:val="auto"/>
              </w:rPr>
              <w:t>Vested performance shares decrease by 30% for three-year TSR performance that is at or below the 25</w:t>
            </w:r>
            <w:r>
              <w:rPr>
                <w:rFonts w:ascii="Arial" w:cs="Arial" w:eastAsia="Arial" w:hAnsi="Arial"/>
                <w:sz w:val="25"/>
                <w:szCs w:val="25"/>
                <w:color w:val="auto"/>
                <w:vertAlign w:val="superscript"/>
              </w:rPr>
              <w:t>th</w:t>
            </w:r>
          </w:p>
        </w:tc>
      </w:tr>
      <w:tr>
        <w:trPr>
          <w:trHeight w:val="182"/>
        </w:trPr>
        <w:tc>
          <w:tcPr>
            <w:tcW w:w="3000" w:type="dxa"/>
            <w:vAlign w:val="bottom"/>
            <w:tcBorders>
              <w:bottom w:val="single" w:sz="8" w:color="002F4D"/>
            </w:tcBorders>
          </w:tcPr>
          <w:p>
            <w:pPr>
              <w:spacing w:after="0"/>
              <w:rPr>
                <w:sz w:val="15"/>
                <w:szCs w:val="15"/>
                <w:color w:val="auto"/>
              </w:rPr>
            </w:pPr>
          </w:p>
        </w:tc>
        <w:tc>
          <w:tcPr>
            <w:tcW w:w="720" w:type="dxa"/>
            <w:vAlign w:val="bottom"/>
            <w:tcBorders>
              <w:bottom w:val="single" w:sz="8" w:color="002F4D"/>
            </w:tcBorders>
          </w:tcPr>
          <w:p>
            <w:pPr>
              <w:spacing w:after="0"/>
              <w:rPr>
                <w:sz w:val="15"/>
                <w:szCs w:val="15"/>
                <w:color w:val="auto"/>
              </w:rPr>
            </w:pPr>
          </w:p>
        </w:tc>
        <w:tc>
          <w:tcPr>
            <w:tcW w:w="752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percentile versus the Peer Group</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5E7C"/>
        </w:rPr>
        <w:t>2025 Long-Term Equity Incentive Awards</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In May 2025, the Compensation Committee approved LTI equity awards to our Named Executive Officers consisting of performance-based PSUs (66.7% of target LTI value) and time-based RSUs (33.3% of target LTI value). The performance period for the performance-based PSUs covers fiscal years 2025, 2026 and 2027, and vesting, if any, will be approved by the Compensation Committee in the first quarter of fiscal year 2028. The time-based RSUs will vest, subject to the NEO’s continued employment, in equal increments, in March 2026, March 2027 and March 2028. The shares underlying the time-based RSUs must be held until the end of the three fiscal year period to which they relate. All future performance-based equity grants made during our annual grant cycle are currently expected also to have a three-year performance and vesting period.</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Compensation Committee sets the grant date target value for LTI awards for our Named Executive Officers other than the CEO. Using market-based long-term equity grant values and incentive plan design information provided by the Compensation Committee’s independent compensation consultants as a guide, Mr. FitzGerald recommends to the Compensation Committee awards for our Named Executive Officers (other than himself) and members of senior management.</w:t>
      </w:r>
    </w:p>
    <w:p>
      <w:pPr>
        <w:spacing w:after="0" w:line="138" w:lineRule="exact"/>
        <w:rPr>
          <w:sz w:val="20"/>
          <w:szCs w:val="20"/>
          <w:color w:val="auto"/>
        </w:rPr>
      </w:pPr>
    </w:p>
    <w:p>
      <w:pPr>
        <w:ind w:left="8960"/>
        <w:spacing w:after="0"/>
        <w:tabs>
          <w:tab w:leader="none" w:pos="1106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3"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Board established Mr. FitzGerald’s target LTI award based upon the recommendations of the Compensation Committee. In forming its recommendation, the Compensation Committee reviewed competitive compensation data for the Peer Group provided by Aon and considered other relevant factors.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740" w:type="dxa"/>
            <w:vAlign w:val="bottom"/>
          </w:tcPr>
          <w:p>
            <w:pPr>
              <w:spacing w:after="0"/>
              <w:rPr>
                <w:sz w:val="20"/>
                <w:szCs w:val="20"/>
                <w:color w:val="auto"/>
              </w:rPr>
            </w:pPr>
            <w:r>
              <w:rPr>
                <w:rFonts w:ascii="Arial" w:cs="Arial" w:eastAsia="Arial" w:hAnsi="Arial"/>
                <w:sz w:val="15"/>
                <w:szCs w:val="15"/>
                <w:color w:val="auto"/>
              </w:rPr>
              <w:t>Target LTI awards for our Named Executive Officers are shown below.</w:t>
            </w:r>
          </w:p>
        </w:tc>
        <w:tc>
          <w:tcPr>
            <w:tcW w:w="1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331"/>
        </w:trPr>
        <w:tc>
          <w:tcPr>
            <w:tcW w:w="5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40" w:type="dxa"/>
            <w:vAlign w:val="bottom"/>
          </w:tcPr>
          <w:p>
            <w:pPr>
              <w:jc w:val="right"/>
              <w:ind w:right="344"/>
              <w:spacing w:after="0"/>
              <w:rPr>
                <w:sz w:val="20"/>
                <w:szCs w:val="20"/>
                <w:color w:val="auto"/>
              </w:rPr>
            </w:pPr>
            <w:r>
              <w:rPr>
                <w:rFonts w:ascii="Arial" w:cs="Arial" w:eastAsia="Arial" w:hAnsi="Arial"/>
                <w:sz w:val="15"/>
                <w:szCs w:val="15"/>
                <w:b w:val="1"/>
                <w:bCs w:val="1"/>
                <w:color w:val="00304D"/>
              </w:rPr>
              <w:t>Target</w:t>
            </w:r>
          </w:p>
        </w:tc>
        <w:tc>
          <w:tcPr>
            <w:tcW w:w="1320" w:type="dxa"/>
            <w:vAlign w:val="bottom"/>
          </w:tcPr>
          <w:p>
            <w:pPr>
              <w:spacing w:after="0"/>
              <w:rPr>
                <w:sz w:val="24"/>
                <w:szCs w:val="24"/>
                <w:color w:val="auto"/>
              </w:rPr>
            </w:pPr>
          </w:p>
        </w:tc>
      </w:tr>
      <w:tr>
        <w:trPr>
          <w:trHeight w:val="177"/>
        </w:trPr>
        <w:tc>
          <w:tcPr>
            <w:tcW w:w="57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jc w:val="right"/>
              <w:ind w:right="264"/>
              <w:spacing w:after="0"/>
              <w:rPr>
                <w:sz w:val="20"/>
                <w:szCs w:val="20"/>
                <w:color w:val="auto"/>
              </w:rPr>
            </w:pPr>
            <w:r>
              <w:rPr>
                <w:rFonts w:ascii="Arial" w:cs="Arial" w:eastAsia="Arial" w:hAnsi="Arial"/>
                <w:sz w:val="15"/>
                <w:szCs w:val="15"/>
                <w:b w:val="1"/>
                <w:bCs w:val="1"/>
                <w:color w:val="00304D"/>
              </w:rPr>
              <w:t>Grant date</w:t>
            </w:r>
          </w:p>
        </w:tc>
        <w:tc>
          <w:tcPr>
            <w:tcW w:w="1740" w:type="dxa"/>
            <w:vAlign w:val="bottom"/>
          </w:tcPr>
          <w:p>
            <w:pPr>
              <w:jc w:val="right"/>
              <w:ind w:right="344"/>
              <w:spacing w:after="0"/>
              <w:rPr>
                <w:sz w:val="20"/>
                <w:szCs w:val="20"/>
                <w:color w:val="auto"/>
              </w:rPr>
            </w:pPr>
            <w:r>
              <w:rPr>
                <w:rFonts w:ascii="Arial" w:cs="Arial" w:eastAsia="Arial" w:hAnsi="Arial"/>
                <w:sz w:val="15"/>
                <w:szCs w:val="15"/>
                <w:b w:val="1"/>
                <w:bCs w:val="1"/>
                <w:color w:val="00304D"/>
              </w:rPr>
              <w:t>performance-</w:t>
            </w:r>
          </w:p>
        </w:tc>
        <w:tc>
          <w:tcPr>
            <w:tcW w:w="1320" w:type="dxa"/>
            <w:vAlign w:val="bottom"/>
          </w:tcPr>
          <w:p>
            <w:pPr>
              <w:jc w:val="right"/>
              <w:ind w:right="24"/>
              <w:spacing w:after="0"/>
              <w:rPr>
                <w:sz w:val="20"/>
                <w:szCs w:val="20"/>
                <w:color w:val="auto"/>
              </w:rPr>
            </w:pPr>
            <w:r>
              <w:rPr>
                <w:rFonts w:ascii="Arial" w:cs="Arial" w:eastAsia="Arial" w:hAnsi="Arial"/>
                <w:sz w:val="15"/>
                <w:szCs w:val="15"/>
                <w:b w:val="1"/>
                <w:bCs w:val="1"/>
                <w:color w:val="00304D"/>
              </w:rPr>
              <w:t>Target</w:t>
            </w:r>
          </w:p>
        </w:tc>
      </w:tr>
      <w:tr>
        <w:trPr>
          <w:trHeight w:val="177"/>
        </w:trPr>
        <w:tc>
          <w:tcPr>
            <w:tcW w:w="5740" w:type="dxa"/>
            <w:vAlign w:val="bottom"/>
          </w:tcPr>
          <w:p>
            <w:pPr>
              <w:spacing w:after="0"/>
              <w:rPr>
                <w:sz w:val="15"/>
                <w:szCs w:val="15"/>
                <w:color w:val="auto"/>
              </w:rPr>
            </w:pPr>
          </w:p>
        </w:tc>
        <w:tc>
          <w:tcPr>
            <w:tcW w:w="2440" w:type="dxa"/>
            <w:vAlign w:val="bottom"/>
            <w:gridSpan w:val="2"/>
          </w:tcPr>
          <w:p>
            <w:pPr>
              <w:jc w:val="right"/>
              <w:ind w:right="264"/>
              <w:spacing w:after="0"/>
              <w:rPr>
                <w:sz w:val="20"/>
                <w:szCs w:val="20"/>
                <w:color w:val="auto"/>
              </w:rPr>
            </w:pPr>
            <w:r>
              <w:rPr>
                <w:rFonts w:ascii="Arial" w:cs="Arial" w:eastAsia="Arial" w:hAnsi="Arial"/>
                <w:sz w:val="15"/>
                <w:szCs w:val="15"/>
                <w:b w:val="1"/>
                <w:bCs w:val="1"/>
                <w:color w:val="00304D"/>
              </w:rPr>
              <w:t>target value of</w:t>
            </w:r>
          </w:p>
        </w:tc>
        <w:tc>
          <w:tcPr>
            <w:tcW w:w="1740" w:type="dxa"/>
            <w:vAlign w:val="bottom"/>
          </w:tcPr>
          <w:p>
            <w:pPr>
              <w:jc w:val="right"/>
              <w:ind w:right="344"/>
              <w:spacing w:after="0"/>
              <w:rPr>
                <w:sz w:val="20"/>
                <w:szCs w:val="20"/>
                <w:color w:val="auto"/>
              </w:rPr>
            </w:pPr>
            <w:r>
              <w:rPr>
                <w:rFonts w:ascii="Arial" w:cs="Arial" w:eastAsia="Arial" w:hAnsi="Arial"/>
                <w:sz w:val="15"/>
                <w:szCs w:val="15"/>
                <w:b w:val="1"/>
                <w:bCs w:val="1"/>
                <w:color w:val="00304D"/>
              </w:rPr>
              <w:t>based</w:t>
            </w:r>
          </w:p>
        </w:tc>
        <w:tc>
          <w:tcPr>
            <w:tcW w:w="1320" w:type="dxa"/>
            <w:vAlign w:val="bottom"/>
          </w:tcPr>
          <w:p>
            <w:pPr>
              <w:jc w:val="right"/>
              <w:ind w:right="24"/>
              <w:spacing w:after="0"/>
              <w:rPr>
                <w:sz w:val="20"/>
                <w:szCs w:val="20"/>
                <w:color w:val="auto"/>
              </w:rPr>
            </w:pPr>
            <w:r>
              <w:rPr>
                <w:rFonts w:ascii="Arial" w:cs="Arial" w:eastAsia="Arial" w:hAnsi="Arial"/>
                <w:sz w:val="15"/>
                <w:szCs w:val="15"/>
                <w:b w:val="1"/>
                <w:bCs w:val="1"/>
                <w:color w:val="00304D"/>
              </w:rPr>
              <w:t>time-based</w:t>
            </w:r>
          </w:p>
        </w:tc>
      </w:tr>
      <w:tr>
        <w:trPr>
          <w:trHeight w:val="177"/>
        </w:trPr>
        <w:tc>
          <w:tcPr>
            <w:tcW w:w="57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jc w:val="right"/>
              <w:ind w:right="264"/>
              <w:spacing w:after="0"/>
              <w:rPr>
                <w:sz w:val="20"/>
                <w:szCs w:val="20"/>
                <w:color w:val="auto"/>
              </w:rPr>
            </w:pPr>
            <w:r>
              <w:rPr>
                <w:rFonts w:ascii="Arial" w:cs="Arial" w:eastAsia="Arial" w:hAnsi="Arial"/>
                <w:sz w:val="15"/>
                <w:szCs w:val="15"/>
                <w:b w:val="1"/>
                <w:bCs w:val="1"/>
                <w:color w:val="00304D"/>
              </w:rPr>
              <w:t>award*</w:t>
            </w:r>
          </w:p>
        </w:tc>
        <w:tc>
          <w:tcPr>
            <w:tcW w:w="1740" w:type="dxa"/>
            <w:vAlign w:val="bottom"/>
          </w:tcPr>
          <w:p>
            <w:pPr>
              <w:jc w:val="right"/>
              <w:ind w:right="344"/>
              <w:spacing w:after="0"/>
              <w:rPr>
                <w:sz w:val="20"/>
                <w:szCs w:val="20"/>
                <w:color w:val="auto"/>
              </w:rPr>
            </w:pPr>
            <w:r>
              <w:rPr>
                <w:rFonts w:ascii="Arial" w:cs="Arial" w:eastAsia="Arial" w:hAnsi="Arial"/>
                <w:sz w:val="15"/>
                <w:szCs w:val="15"/>
                <w:b w:val="1"/>
                <w:bCs w:val="1"/>
                <w:color w:val="00304D"/>
              </w:rPr>
              <w:t>PSUs</w:t>
            </w:r>
          </w:p>
        </w:tc>
        <w:tc>
          <w:tcPr>
            <w:tcW w:w="1320" w:type="dxa"/>
            <w:vAlign w:val="bottom"/>
          </w:tcPr>
          <w:p>
            <w:pPr>
              <w:jc w:val="right"/>
              <w:ind w:right="24"/>
              <w:spacing w:after="0"/>
              <w:rPr>
                <w:sz w:val="20"/>
                <w:szCs w:val="20"/>
                <w:color w:val="auto"/>
              </w:rPr>
            </w:pPr>
            <w:r>
              <w:rPr>
                <w:rFonts w:ascii="Arial" w:cs="Arial" w:eastAsia="Arial" w:hAnsi="Arial"/>
                <w:sz w:val="15"/>
                <w:szCs w:val="15"/>
                <w:b w:val="1"/>
                <w:bCs w:val="1"/>
                <w:color w:val="00304D"/>
              </w:rPr>
              <w:t>RSUs</w:t>
            </w:r>
          </w:p>
        </w:tc>
      </w:tr>
      <w:tr>
        <w:trPr>
          <w:trHeight w:val="189"/>
        </w:trPr>
        <w:tc>
          <w:tcPr>
            <w:tcW w:w="574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00304D"/>
              </w:rPr>
              <w:t>Executive</w:t>
            </w:r>
          </w:p>
        </w:tc>
        <w:tc>
          <w:tcPr>
            <w:tcW w:w="1260" w:type="dxa"/>
            <w:vAlign w:val="bottom"/>
            <w:tcBorders>
              <w:bottom w:val="single" w:sz="8" w:color="002F4D"/>
            </w:tcBorders>
          </w:tcPr>
          <w:p>
            <w:pPr>
              <w:spacing w:after="0"/>
              <w:rPr>
                <w:sz w:val="16"/>
                <w:szCs w:val="16"/>
                <w:color w:val="auto"/>
              </w:rPr>
            </w:pPr>
          </w:p>
        </w:tc>
        <w:tc>
          <w:tcPr>
            <w:tcW w:w="1180" w:type="dxa"/>
            <w:vAlign w:val="bottom"/>
            <w:tcBorders>
              <w:bottom w:val="single" w:sz="8" w:color="002F4D"/>
            </w:tcBorders>
          </w:tcPr>
          <w:p>
            <w:pPr>
              <w:jc w:val="right"/>
              <w:ind w:right="264"/>
              <w:spacing w:after="0"/>
              <w:rPr>
                <w:sz w:val="20"/>
                <w:szCs w:val="20"/>
                <w:color w:val="auto"/>
              </w:rPr>
            </w:pPr>
            <w:r>
              <w:rPr>
                <w:rFonts w:ascii="Arial" w:cs="Arial" w:eastAsia="Arial" w:hAnsi="Arial"/>
                <w:sz w:val="15"/>
                <w:szCs w:val="15"/>
                <w:b w:val="1"/>
                <w:bCs w:val="1"/>
                <w:color w:val="00304D"/>
              </w:rPr>
              <w:t>($)</w:t>
            </w:r>
          </w:p>
        </w:tc>
        <w:tc>
          <w:tcPr>
            <w:tcW w:w="1740" w:type="dxa"/>
            <w:vAlign w:val="bottom"/>
            <w:tcBorders>
              <w:bottom w:val="single" w:sz="8" w:color="002F4D"/>
            </w:tcBorders>
          </w:tcPr>
          <w:p>
            <w:pPr>
              <w:jc w:val="right"/>
              <w:ind w:right="344"/>
              <w:spacing w:after="0"/>
              <w:rPr>
                <w:sz w:val="20"/>
                <w:szCs w:val="20"/>
                <w:color w:val="auto"/>
              </w:rPr>
            </w:pPr>
            <w:r>
              <w:rPr>
                <w:rFonts w:ascii="Arial" w:cs="Arial" w:eastAsia="Arial" w:hAnsi="Arial"/>
                <w:sz w:val="15"/>
                <w:szCs w:val="15"/>
                <w:b w:val="1"/>
                <w:bCs w:val="1"/>
                <w:color w:val="00304D"/>
              </w:rPr>
              <w:t>(#)</w:t>
            </w:r>
          </w:p>
        </w:tc>
        <w:tc>
          <w:tcPr>
            <w:tcW w:w="132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b w:val="1"/>
                <w:bCs w:val="1"/>
                <w:color w:val="00304D"/>
              </w:rPr>
              <w:t>(#)</w:t>
            </w:r>
          </w:p>
        </w:tc>
      </w:tr>
      <w:tr>
        <w:trPr>
          <w:trHeight w:val="182"/>
        </w:trPr>
        <w:tc>
          <w:tcPr>
            <w:tcW w:w="574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auto"/>
              </w:rPr>
              <w:t>Timothy J. FitzGerald</w:t>
            </w:r>
          </w:p>
        </w:tc>
        <w:tc>
          <w:tcPr>
            <w:tcW w:w="1260" w:type="dxa"/>
            <w:vAlign w:val="bottom"/>
            <w:tcBorders>
              <w:bottom w:val="single" w:sz="8" w:color="002F4D"/>
            </w:tcBorders>
          </w:tcPr>
          <w:p>
            <w:pPr>
              <w:jc w:val="right"/>
              <w:ind w:right="4"/>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002F4D"/>
            </w:tcBorders>
          </w:tcPr>
          <w:p>
            <w:pPr>
              <w:jc w:val="right"/>
              <w:ind w:right="264"/>
              <w:spacing w:after="0"/>
              <w:rPr>
                <w:sz w:val="20"/>
                <w:szCs w:val="20"/>
                <w:color w:val="auto"/>
              </w:rPr>
            </w:pPr>
            <w:r>
              <w:rPr>
                <w:rFonts w:ascii="Arial" w:cs="Arial" w:eastAsia="Arial" w:hAnsi="Arial"/>
                <w:sz w:val="15"/>
                <w:szCs w:val="15"/>
                <w:color w:val="auto"/>
              </w:rPr>
              <w:t>6,540,573</w:t>
            </w:r>
          </w:p>
        </w:tc>
        <w:tc>
          <w:tcPr>
            <w:tcW w:w="1740" w:type="dxa"/>
            <w:vAlign w:val="bottom"/>
            <w:tcBorders>
              <w:bottom w:val="single" w:sz="8" w:color="002F4D"/>
            </w:tcBorders>
          </w:tcPr>
          <w:p>
            <w:pPr>
              <w:jc w:val="right"/>
              <w:ind w:right="344"/>
              <w:spacing w:after="0"/>
              <w:rPr>
                <w:sz w:val="20"/>
                <w:szCs w:val="20"/>
                <w:color w:val="auto"/>
              </w:rPr>
            </w:pPr>
            <w:r>
              <w:rPr>
                <w:rFonts w:ascii="Arial" w:cs="Arial" w:eastAsia="Arial" w:hAnsi="Arial"/>
                <w:sz w:val="15"/>
                <w:szCs w:val="15"/>
                <w:color w:val="auto"/>
              </w:rPr>
              <w:t>29,086</w:t>
            </w:r>
          </w:p>
        </w:tc>
        <w:tc>
          <w:tcPr>
            <w:tcW w:w="132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14,544</w:t>
            </w:r>
          </w:p>
        </w:tc>
      </w:tr>
      <w:tr>
        <w:trPr>
          <w:trHeight w:val="182"/>
        </w:trPr>
        <w:tc>
          <w:tcPr>
            <w:tcW w:w="574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auto"/>
              </w:rPr>
              <w:t>Bryan E. Mittelman</w:t>
            </w:r>
          </w:p>
        </w:tc>
        <w:tc>
          <w:tcPr>
            <w:tcW w:w="1260" w:type="dxa"/>
            <w:vAlign w:val="bottom"/>
            <w:tcBorders>
              <w:bottom w:val="single" w:sz="8" w:color="002F4D"/>
            </w:tcBorders>
          </w:tcPr>
          <w:p>
            <w:pPr>
              <w:jc w:val="right"/>
              <w:ind w:right="4"/>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002F4D"/>
            </w:tcBorders>
          </w:tcPr>
          <w:p>
            <w:pPr>
              <w:jc w:val="right"/>
              <w:ind w:right="264"/>
              <w:spacing w:after="0"/>
              <w:rPr>
                <w:sz w:val="20"/>
                <w:szCs w:val="20"/>
                <w:color w:val="auto"/>
              </w:rPr>
            </w:pPr>
            <w:r>
              <w:rPr>
                <w:rFonts w:ascii="Arial" w:cs="Arial" w:eastAsia="Arial" w:hAnsi="Arial"/>
                <w:sz w:val="15"/>
                <w:szCs w:val="15"/>
                <w:color w:val="auto"/>
              </w:rPr>
              <w:t>1,957,075</w:t>
            </w:r>
          </w:p>
        </w:tc>
        <w:tc>
          <w:tcPr>
            <w:tcW w:w="1740" w:type="dxa"/>
            <w:vAlign w:val="bottom"/>
            <w:tcBorders>
              <w:bottom w:val="single" w:sz="8" w:color="002F4D"/>
            </w:tcBorders>
          </w:tcPr>
          <w:p>
            <w:pPr>
              <w:jc w:val="right"/>
              <w:ind w:right="344"/>
              <w:spacing w:after="0"/>
              <w:rPr>
                <w:sz w:val="20"/>
                <w:szCs w:val="20"/>
                <w:color w:val="auto"/>
              </w:rPr>
            </w:pPr>
            <w:r>
              <w:rPr>
                <w:rFonts w:ascii="Arial" w:cs="Arial" w:eastAsia="Arial" w:hAnsi="Arial"/>
                <w:sz w:val="15"/>
                <w:szCs w:val="15"/>
                <w:color w:val="auto"/>
              </w:rPr>
              <w:t>8,703</w:t>
            </w:r>
          </w:p>
        </w:tc>
        <w:tc>
          <w:tcPr>
            <w:tcW w:w="132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4,352</w:t>
            </w:r>
          </w:p>
        </w:tc>
      </w:tr>
      <w:tr>
        <w:trPr>
          <w:trHeight w:val="182"/>
        </w:trPr>
        <w:tc>
          <w:tcPr>
            <w:tcW w:w="574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auto"/>
              </w:rPr>
              <w:t>James K. Pool III</w:t>
            </w:r>
          </w:p>
        </w:tc>
        <w:tc>
          <w:tcPr>
            <w:tcW w:w="1260" w:type="dxa"/>
            <w:vAlign w:val="bottom"/>
            <w:tcBorders>
              <w:bottom w:val="single" w:sz="8" w:color="002F4D"/>
            </w:tcBorders>
          </w:tcPr>
          <w:p>
            <w:pPr>
              <w:jc w:val="right"/>
              <w:ind w:right="4"/>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002F4D"/>
            </w:tcBorders>
          </w:tcPr>
          <w:p>
            <w:pPr>
              <w:jc w:val="right"/>
              <w:ind w:right="264"/>
              <w:spacing w:after="0"/>
              <w:rPr>
                <w:sz w:val="20"/>
                <w:szCs w:val="20"/>
                <w:color w:val="auto"/>
              </w:rPr>
            </w:pPr>
            <w:r>
              <w:rPr>
                <w:rFonts w:ascii="Arial" w:cs="Arial" w:eastAsia="Arial" w:hAnsi="Arial"/>
                <w:sz w:val="15"/>
                <w:szCs w:val="15"/>
                <w:color w:val="auto"/>
              </w:rPr>
              <w:t>2,678,142</w:t>
            </w:r>
          </w:p>
        </w:tc>
        <w:tc>
          <w:tcPr>
            <w:tcW w:w="1740" w:type="dxa"/>
            <w:vAlign w:val="bottom"/>
            <w:tcBorders>
              <w:bottom w:val="single" w:sz="8" w:color="002F4D"/>
            </w:tcBorders>
          </w:tcPr>
          <w:p>
            <w:pPr>
              <w:jc w:val="right"/>
              <w:ind w:right="344"/>
              <w:spacing w:after="0"/>
              <w:rPr>
                <w:sz w:val="20"/>
                <w:szCs w:val="20"/>
                <w:color w:val="auto"/>
              </w:rPr>
            </w:pPr>
            <w:r>
              <w:rPr>
                <w:rFonts w:ascii="Arial" w:cs="Arial" w:eastAsia="Arial" w:hAnsi="Arial"/>
                <w:sz w:val="15"/>
                <w:szCs w:val="15"/>
                <w:color w:val="auto"/>
              </w:rPr>
              <w:t>11,910</w:t>
            </w:r>
          </w:p>
        </w:tc>
        <w:tc>
          <w:tcPr>
            <w:tcW w:w="132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5,955</w:t>
            </w:r>
          </w:p>
        </w:tc>
      </w:tr>
      <w:tr>
        <w:trPr>
          <w:trHeight w:val="182"/>
        </w:trPr>
        <w:tc>
          <w:tcPr>
            <w:tcW w:w="574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auto"/>
              </w:rPr>
              <w:t>Steven P. Spittle</w:t>
            </w:r>
          </w:p>
        </w:tc>
        <w:tc>
          <w:tcPr>
            <w:tcW w:w="1260" w:type="dxa"/>
            <w:vAlign w:val="bottom"/>
            <w:tcBorders>
              <w:bottom w:val="single" w:sz="8" w:color="002F4D"/>
            </w:tcBorders>
          </w:tcPr>
          <w:p>
            <w:pPr>
              <w:jc w:val="right"/>
              <w:ind w:right="4"/>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002F4D"/>
            </w:tcBorders>
          </w:tcPr>
          <w:p>
            <w:pPr>
              <w:jc w:val="right"/>
              <w:ind w:right="264"/>
              <w:spacing w:after="0"/>
              <w:rPr>
                <w:sz w:val="20"/>
                <w:szCs w:val="20"/>
                <w:color w:val="auto"/>
              </w:rPr>
            </w:pPr>
            <w:r>
              <w:rPr>
                <w:rFonts w:ascii="Arial" w:cs="Arial" w:eastAsia="Arial" w:hAnsi="Arial"/>
                <w:sz w:val="15"/>
                <w:szCs w:val="15"/>
                <w:color w:val="auto"/>
              </w:rPr>
              <w:t>2,678,142</w:t>
            </w:r>
          </w:p>
        </w:tc>
        <w:tc>
          <w:tcPr>
            <w:tcW w:w="1740" w:type="dxa"/>
            <w:vAlign w:val="bottom"/>
            <w:tcBorders>
              <w:bottom w:val="single" w:sz="8" w:color="002F4D"/>
            </w:tcBorders>
          </w:tcPr>
          <w:p>
            <w:pPr>
              <w:jc w:val="right"/>
              <w:ind w:right="344"/>
              <w:spacing w:after="0"/>
              <w:rPr>
                <w:sz w:val="20"/>
                <w:szCs w:val="20"/>
                <w:color w:val="auto"/>
              </w:rPr>
            </w:pPr>
            <w:r>
              <w:rPr>
                <w:rFonts w:ascii="Arial" w:cs="Arial" w:eastAsia="Arial" w:hAnsi="Arial"/>
                <w:sz w:val="15"/>
                <w:szCs w:val="15"/>
                <w:color w:val="auto"/>
              </w:rPr>
              <w:t>11,910</w:t>
            </w:r>
          </w:p>
        </w:tc>
        <w:tc>
          <w:tcPr>
            <w:tcW w:w="132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5,955</w:t>
            </w:r>
          </w:p>
        </w:tc>
      </w:tr>
      <w:tr>
        <w:trPr>
          <w:trHeight w:val="187"/>
        </w:trPr>
        <w:tc>
          <w:tcPr>
            <w:tcW w:w="574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auto"/>
              </w:rPr>
              <w:t>Matthew R. Fuchsen</w:t>
            </w:r>
          </w:p>
        </w:tc>
        <w:tc>
          <w:tcPr>
            <w:tcW w:w="1260" w:type="dxa"/>
            <w:vAlign w:val="bottom"/>
            <w:tcBorders>
              <w:bottom w:val="single" w:sz="8" w:color="002F4D"/>
            </w:tcBorders>
          </w:tcPr>
          <w:p>
            <w:pPr>
              <w:jc w:val="right"/>
              <w:ind w:right="4"/>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002F4D"/>
            </w:tcBorders>
          </w:tcPr>
          <w:p>
            <w:pPr>
              <w:jc w:val="right"/>
              <w:ind w:right="264"/>
              <w:spacing w:after="0"/>
              <w:rPr>
                <w:sz w:val="20"/>
                <w:szCs w:val="20"/>
                <w:color w:val="auto"/>
              </w:rPr>
            </w:pPr>
            <w:r>
              <w:rPr>
                <w:rFonts w:ascii="Arial" w:cs="Arial" w:eastAsia="Arial" w:hAnsi="Arial"/>
                <w:sz w:val="15"/>
                <w:szCs w:val="15"/>
                <w:color w:val="auto"/>
              </w:rPr>
              <w:t>1,467,319</w:t>
            </w:r>
          </w:p>
        </w:tc>
        <w:tc>
          <w:tcPr>
            <w:tcW w:w="1740" w:type="dxa"/>
            <w:vAlign w:val="bottom"/>
            <w:tcBorders>
              <w:bottom w:val="single" w:sz="8" w:color="002F4D"/>
            </w:tcBorders>
          </w:tcPr>
          <w:p>
            <w:pPr>
              <w:jc w:val="right"/>
              <w:ind w:right="344"/>
              <w:spacing w:after="0"/>
              <w:rPr>
                <w:sz w:val="20"/>
                <w:szCs w:val="20"/>
                <w:color w:val="auto"/>
              </w:rPr>
            </w:pPr>
            <w:r>
              <w:rPr>
                <w:rFonts w:ascii="Arial" w:cs="Arial" w:eastAsia="Arial" w:hAnsi="Arial"/>
                <w:sz w:val="15"/>
                <w:szCs w:val="15"/>
                <w:color w:val="auto"/>
              </w:rPr>
              <w:t>6,527</w:t>
            </w:r>
          </w:p>
        </w:tc>
        <w:tc>
          <w:tcPr>
            <w:tcW w:w="132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3,264</w:t>
            </w:r>
          </w:p>
        </w:tc>
      </w:tr>
    </w:tbl>
    <w:p>
      <w:pPr>
        <w:spacing w:after="0" w:line="43" w:lineRule="exact"/>
        <w:rPr>
          <w:sz w:val="20"/>
          <w:szCs w:val="20"/>
          <w:color w:val="auto"/>
        </w:rPr>
      </w:pPr>
    </w:p>
    <w:p>
      <w:pPr>
        <w:jc w:val="both"/>
        <w:ind w:left="300" w:hanging="299"/>
        <w:spacing w:after="0" w:line="259" w:lineRule="auto"/>
        <w:tabs>
          <w:tab w:leader="none" w:pos="3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Compensation Committee determined the number of PSUs and RSUs to grant based on the price of Middleby common stock on May 13, 2025, which was $149.91 per share. The numbers in this column will differ from the fiscal 2025 numbers in the “Stock Awards” column in the Summary Compensation Table for Fiscal Year 2025 and the “Grant Date Fair Value of Stock and Option Awards” column in the Grants of Plan-Based Awards in Fiscal Year 2025 below, because in those tables, values are calculated in accordance with FASB ASC Topic 718.</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00304D"/>
        </w:rPr>
        <w:t>Performance Targets for 2025 LTI Awards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The performance-based PSUs have two primary metrics: Adjusted EPS Growth (65%) and Return on Invested Capital (35%).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2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00304D"/>
              </w:rPr>
              <w:t>Metric</w:t>
            </w:r>
          </w:p>
        </w:tc>
        <w:tc>
          <w:tcPr>
            <w:tcW w:w="4740" w:type="dxa"/>
            <w:vAlign w:val="bottom"/>
            <w:tcBorders>
              <w:bottom w:val="single" w:sz="8" w:color="002F4D"/>
            </w:tcBorders>
          </w:tcPr>
          <w:p>
            <w:pPr>
              <w:ind w:left="220"/>
              <w:spacing w:after="0"/>
              <w:rPr>
                <w:sz w:val="20"/>
                <w:szCs w:val="20"/>
                <w:color w:val="auto"/>
              </w:rPr>
            </w:pPr>
            <w:r>
              <w:rPr>
                <w:rFonts w:ascii="Arial" w:cs="Arial" w:eastAsia="Arial" w:hAnsi="Arial"/>
                <w:sz w:val="15"/>
                <w:szCs w:val="15"/>
                <w:b w:val="1"/>
                <w:bCs w:val="1"/>
                <w:color w:val="00304D"/>
              </w:rPr>
              <w:t>Definition</w:t>
            </w:r>
          </w:p>
        </w:tc>
        <w:tc>
          <w:tcPr>
            <w:tcW w:w="4680" w:type="dxa"/>
            <w:vAlign w:val="bottom"/>
            <w:tcBorders>
              <w:bottom w:val="single" w:sz="8" w:color="002F4D"/>
            </w:tcBorders>
          </w:tcPr>
          <w:p>
            <w:pPr>
              <w:ind w:left="200"/>
              <w:spacing w:after="0"/>
              <w:rPr>
                <w:sz w:val="20"/>
                <w:szCs w:val="20"/>
                <w:color w:val="auto"/>
              </w:rPr>
            </w:pPr>
            <w:r>
              <w:rPr>
                <w:rFonts w:ascii="Arial" w:cs="Arial" w:eastAsia="Arial" w:hAnsi="Arial"/>
                <w:sz w:val="15"/>
                <w:szCs w:val="15"/>
                <w:b w:val="1"/>
                <w:bCs w:val="1"/>
                <w:color w:val="00304D"/>
              </w:rPr>
              <w:t>Rationale</w:t>
            </w:r>
          </w:p>
        </w:tc>
      </w:tr>
      <w:tr>
        <w:trPr>
          <w:trHeight w:val="157"/>
        </w:trPr>
        <w:tc>
          <w:tcPr>
            <w:tcW w:w="1820" w:type="dxa"/>
            <w:vAlign w:val="bottom"/>
          </w:tcPr>
          <w:p>
            <w:pPr>
              <w:ind w:left="60"/>
              <w:spacing w:after="0" w:line="157" w:lineRule="exact"/>
              <w:rPr>
                <w:sz w:val="20"/>
                <w:szCs w:val="20"/>
                <w:color w:val="auto"/>
              </w:rPr>
            </w:pPr>
            <w:r>
              <w:rPr>
                <w:rFonts w:ascii="Arial" w:cs="Arial" w:eastAsia="Arial" w:hAnsi="Arial"/>
                <w:sz w:val="15"/>
                <w:szCs w:val="15"/>
                <w:b w:val="1"/>
                <w:bCs w:val="1"/>
                <w:color w:val="265E7C"/>
              </w:rPr>
              <w:t>Adjusted EPS Growth</w:t>
            </w:r>
          </w:p>
        </w:tc>
        <w:tc>
          <w:tcPr>
            <w:tcW w:w="4740" w:type="dxa"/>
            <w:vAlign w:val="bottom"/>
          </w:tcPr>
          <w:p>
            <w:pPr>
              <w:ind w:left="220"/>
              <w:spacing w:after="0" w:line="157" w:lineRule="exact"/>
              <w:rPr>
                <w:sz w:val="20"/>
                <w:szCs w:val="20"/>
                <w:color w:val="auto"/>
              </w:rPr>
            </w:pPr>
            <w:r>
              <w:rPr>
                <w:rFonts w:ascii="Arial" w:cs="Arial" w:eastAsia="Arial" w:hAnsi="Arial"/>
                <w:sz w:val="15"/>
                <w:szCs w:val="15"/>
                <w:color w:val="auto"/>
              </w:rPr>
              <w:t>Net Earnings plus the following: amortization, restructuring</w:t>
            </w:r>
          </w:p>
        </w:tc>
        <w:tc>
          <w:tcPr>
            <w:tcW w:w="4680" w:type="dxa"/>
            <w:vAlign w:val="bottom"/>
          </w:tcPr>
          <w:p>
            <w:pPr>
              <w:ind w:left="200"/>
              <w:spacing w:after="0" w:line="157" w:lineRule="exact"/>
              <w:rPr>
                <w:sz w:val="20"/>
                <w:szCs w:val="20"/>
                <w:color w:val="auto"/>
              </w:rPr>
            </w:pPr>
            <w:r>
              <w:rPr>
                <w:rFonts w:ascii="Arial" w:cs="Arial" w:eastAsia="Arial" w:hAnsi="Arial"/>
                <w:sz w:val="15"/>
                <w:szCs w:val="15"/>
                <w:color w:val="auto"/>
              </w:rPr>
              <w:t>This is an easily understood metric that is reported in Middleby’s</w:t>
            </w:r>
          </w:p>
        </w:tc>
      </w:tr>
      <w:tr>
        <w:trPr>
          <w:trHeight w:val="177"/>
        </w:trPr>
        <w:tc>
          <w:tcPr>
            <w:tcW w:w="1820" w:type="dxa"/>
            <w:vAlign w:val="bottom"/>
          </w:tcPr>
          <w:p>
            <w:pPr>
              <w:spacing w:after="0"/>
              <w:rPr>
                <w:sz w:val="15"/>
                <w:szCs w:val="15"/>
                <w:color w:val="auto"/>
              </w:rPr>
            </w:pPr>
          </w:p>
        </w:tc>
        <w:tc>
          <w:tcPr>
            <w:tcW w:w="4740" w:type="dxa"/>
            <w:vAlign w:val="bottom"/>
          </w:tcPr>
          <w:p>
            <w:pPr>
              <w:ind w:left="220"/>
              <w:spacing w:after="0"/>
              <w:rPr>
                <w:sz w:val="20"/>
                <w:szCs w:val="20"/>
                <w:color w:val="auto"/>
              </w:rPr>
            </w:pPr>
            <w:r>
              <w:rPr>
                <w:rFonts w:ascii="Arial" w:cs="Arial" w:eastAsia="Arial" w:hAnsi="Arial"/>
                <w:sz w:val="15"/>
                <w:szCs w:val="15"/>
                <w:color w:val="auto"/>
              </w:rPr>
              <w:t>expenses, acquisition-related inventory step-up charges, facility</w:t>
            </w:r>
          </w:p>
        </w:tc>
        <w:tc>
          <w:tcPr>
            <w:tcW w:w="4680" w:type="dxa"/>
            <w:vAlign w:val="bottom"/>
          </w:tcPr>
          <w:p>
            <w:pPr>
              <w:ind w:left="200"/>
              <w:spacing w:after="0"/>
              <w:rPr>
                <w:sz w:val="20"/>
                <w:szCs w:val="20"/>
                <w:color w:val="auto"/>
              </w:rPr>
            </w:pPr>
            <w:r>
              <w:rPr>
                <w:rFonts w:ascii="Arial" w:cs="Arial" w:eastAsia="Arial" w:hAnsi="Arial"/>
                <w:sz w:val="15"/>
                <w:szCs w:val="15"/>
                <w:color w:val="auto"/>
              </w:rPr>
              <w:t>earnings releases, that closely aligns with stockholder growth</w:t>
            </w:r>
          </w:p>
        </w:tc>
      </w:tr>
      <w:tr>
        <w:trPr>
          <w:trHeight w:val="177"/>
        </w:trPr>
        <w:tc>
          <w:tcPr>
            <w:tcW w:w="1820" w:type="dxa"/>
            <w:vAlign w:val="bottom"/>
          </w:tcPr>
          <w:p>
            <w:pPr>
              <w:spacing w:after="0"/>
              <w:rPr>
                <w:sz w:val="15"/>
                <w:szCs w:val="15"/>
                <w:color w:val="auto"/>
              </w:rPr>
            </w:pPr>
          </w:p>
        </w:tc>
        <w:tc>
          <w:tcPr>
            <w:tcW w:w="4740" w:type="dxa"/>
            <w:vAlign w:val="bottom"/>
          </w:tcPr>
          <w:p>
            <w:pPr>
              <w:ind w:left="220"/>
              <w:spacing w:after="0"/>
              <w:rPr>
                <w:sz w:val="20"/>
                <w:szCs w:val="20"/>
                <w:color w:val="auto"/>
              </w:rPr>
            </w:pPr>
            <w:r>
              <w:rPr>
                <w:rFonts w:ascii="Arial" w:cs="Arial" w:eastAsia="Arial" w:hAnsi="Arial"/>
                <w:sz w:val="15"/>
                <w:szCs w:val="15"/>
                <w:color w:val="auto"/>
              </w:rPr>
              <w:t>consolidation expense, net periodic pension benefit other than</w:t>
            </w:r>
          </w:p>
        </w:tc>
        <w:tc>
          <w:tcPr>
            <w:tcW w:w="4680" w:type="dxa"/>
            <w:vAlign w:val="bottom"/>
          </w:tcPr>
          <w:p>
            <w:pPr>
              <w:ind w:left="200"/>
              <w:spacing w:after="0"/>
              <w:rPr>
                <w:sz w:val="20"/>
                <w:szCs w:val="20"/>
                <w:color w:val="auto"/>
              </w:rPr>
            </w:pPr>
            <w:r>
              <w:rPr>
                <w:rFonts w:ascii="Arial" w:cs="Arial" w:eastAsia="Arial" w:hAnsi="Arial"/>
                <w:sz w:val="15"/>
                <w:szCs w:val="15"/>
                <w:color w:val="auto"/>
              </w:rPr>
              <w:t>expectations, and that is closely aligned with the valuation of the</w:t>
            </w:r>
          </w:p>
        </w:tc>
      </w:tr>
      <w:tr>
        <w:trPr>
          <w:trHeight w:val="177"/>
        </w:trPr>
        <w:tc>
          <w:tcPr>
            <w:tcW w:w="1820" w:type="dxa"/>
            <w:vAlign w:val="bottom"/>
          </w:tcPr>
          <w:p>
            <w:pPr>
              <w:spacing w:after="0"/>
              <w:rPr>
                <w:sz w:val="15"/>
                <w:szCs w:val="15"/>
                <w:color w:val="auto"/>
              </w:rPr>
            </w:pPr>
          </w:p>
        </w:tc>
        <w:tc>
          <w:tcPr>
            <w:tcW w:w="4740" w:type="dxa"/>
            <w:vAlign w:val="bottom"/>
          </w:tcPr>
          <w:p>
            <w:pPr>
              <w:ind w:left="220"/>
              <w:spacing w:after="0"/>
              <w:rPr>
                <w:sz w:val="20"/>
                <w:szCs w:val="20"/>
                <w:color w:val="auto"/>
              </w:rPr>
            </w:pPr>
            <w:r>
              <w:rPr>
                <w:rFonts w:ascii="Arial" w:cs="Arial" w:eastAsia="Arial" w:hAnsi="Arial"/>
                <w:sz w:val="15"/>
                <w:szCs w:val="15"/>
                <w:color w:val="auto"/>
              </w:rPr>
              <w:t>service costs, one-time restructuring costs, and income tax effect</w:t>
            </w:r>
          </w:p>
        </w:tc>
        <w:tc>
          <w:tcPr>
            <w:tcW w:w="4680" w:type="dxa"/>
            <w:vAlign w:val="bottom"/>
          </w:tcPr>
          <w:p>
            <w:pPr>
              <w:ind w:left="200"/>
              <w:spacing w:after="0"/>
              <w:rPr>
                <w:sz w:val="20"/>
                <w:szCs w:val="20"/>
                <w:color w:val="auto"/>
              </w:rPr>
            </w:pPr>
            <w:r>
              <w:rPr>
                <w:rFonts w:ascii="Arial" w:cs="Arial" w:eastAsia="Arial" w:hAnsi="Arial"/>
                <w:sz w:val="15"/>
                <w:szCs w:val="15"/>
                <w:color w:val="auto"/>
              </w:rPr>
              <w:t>Company.</w:t>
            </w:r>
          </w:p>
        </w:tc>
      </w:tr>
      <w:tr>
        <w:trPr>
          <w:trHeight w:val="177"/>
        </w:trPr>
        <w:tc>
          <w:tcPr>
            <w:tcW w:w="1820" w:type="dxa"/>
            <w:vAlign w:val="bottom"/>
          </w:tcPr>
          <w:p>
            <w:pPr>
              <w:spacing w:after="0"/>
              <w:rPr>
                <w:sz w:val="15"/>
                <w:szCs w:val="15"/>
                <w:color w:val="auto"/>
              </w:rPr>
            </w:pPr>
          </w:p>
        </w:tc>
        <w:tc>
          <w:tcPr>
            <w:tcW w:w="4740" w:type="dxa"/>
            <w:vAlign w:val="bottom"/>
          </w:tcPr>
          <w:p>
            <w:pPr>
              <w:ind w:left="220"/>
              <w:spacing w:after="0"/>
              <w:rPr>
                <w:sz w:val="20"/>
                <w:szCs w:val="20"/>
                <w:color w:val="auto"/>
              </w:rPr>
            </w:pPr>
            <w:r>
              <w:rPr>
                <w:rFonts w:ascii="Arial" w:cs="Arial" w:eastAsia="Arial" w:hAnsi="Arial"/>
                <w:sz w:val="15"/>
                <w:szCs w:val="15"/>
                <w:color w:val="auto"/>
              </w:rPr>
              <w:t>of pre-tax adjustments, with the result divided by shares</w:t>
            </w:r>
          </w:p>
        </w:tc>
        <w:tc>
          <w:tcPr>
            <w:tcW w:w="4680" w:type="dxa"/>
            <w:vAlign w:val="bottom"/>
          </w:tcPr>
          <w:p>
            <w:pPr>
              <w:spacing w:after="0"/>
              <w:rPr>
                <w:sz w:val="15"/>
                <w:szCs w:val="15"/>
                <w:color w:val="auto"/>
              </w:rPr>
            </w:pPr>
          </w:p>
        </w:tc>
      </w:tr>
      <w:tr>
        <w:trPr>
          <w:trHeight w:val="199"/>
        </w:trPr>
        <w:tc>
          <w:tcPr>
            <w:tcW w:w="1820" w:type="dxa"/>
            <w:vAlign w:val="bottom"/>
          </w:tcPr>
          <w:p>
            <w:pPr>
              <w:spacing w:after="0"/>
              <w:rPr>
                <w:sz w:val="17"/>
                <w:szCs w:val="17"/>
                <w:color w:val="auto"/>
              </w:rPr>
            </w:pPr>
          </w:p>
        </w:tc>
        <w:tc>
          <w:tcPr>
            <w:tcW w:w="4740" w:type="dxa"/>
            <w:vAlign w:val="bottom"/>
          </w:tcPr>
          <w:p>
            <w:pPr>
              <w:ind w:left="220"/>
              <w:spacing w:after="0"/>
              <w:rPr>
                <w:sz w:val="20"/>
                <w:szCs w:val="20"/>
                <w:color w:val="auto"/>
              </w:rPr>
            </w:pPr>
            <w:r>
              <w:rPr>
                <w:rFonts w:ascii="Arial" w:cs="Arial" w:eastAsia="Arial" w:hAnsi="Arial"/>
                <w:sz w:val="15"/>
                <w:szCs w:val="15"/>
                <w:color w:val="auto"/>
              </w:rPr>
              <w:t>outstanding.</w:t>
            </w:r>
          </w:p>
        </w:tc>
        <w:tc>
          <w:tcPr>
            <w:tcW w:w="46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714121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p>
      <w:pPr>
        <w:ind w:left="60"/>
        <w:spacing w:after="0"/>
        <w:tabs>
          <w:tab w:leader="none" w:pos="2020" w:val="left"/>
        </w:tabs>
        <w:rPr>
          <w:sz w:val="20"/>
          <w:szCs w:val="20"/>
          <w:color w:val="auto"/>
        </w:rPr>
      </w:pPr>
      <w:r>
        <w:rPr>
          <w:rFonts w:ascii="Arial" w:cs="Arial" w:eastAsia="Arial" w:hAnsi="Arial"/>
          <w:sz w:val="15"/>
          <w:szCs w:val="15"/>
          <w:b w:val="1"/>
          <w:bCs w:val="1"/>
          <w:color w:val="265E7C"/>
        </w:rPr>
        <w:t>Return on</w:t>
      </w:r>
      <w:r>
        <w:rPr>
          <w:sz w:val="20"/>
          <w:szCs w:val="20"/>
          <w:color w:val="auto"/>
        </w:rPr>
        <w:tab/>
      </w:r>
      <w:r>
        <w:rPr>
          <w:rFonts w:ascii="Arial" w:cs="Arial" w:eastAsia="Arial" w:hAnsi="Arial"/>
          <w:sz w:val="15"/>
          <w:szCs w:val="15"/>
          <w:color w:val="auto"/>
        </w:rPr>
        <w:t>Adjusted net operating profit after tax for a fiscal year period</w:t>
      </w:r>
    </w:p>
    <w:p>
      <w:pPr>
        <w:spacing w:after="0" w:line="8" w:lineRule="exact"/>
        <w:rPr>
          <w:sz w:val="20"/>
          <w:szCs w:val="20"/>
          <w:color w:val="auto"/>
        </w:rPr>
      </w:pPr>
    </w:p>
    <w:p>
      <w:pPr>
        <w:ind w:left="60"/>
        <w:spacing w:after="0"/>
        <w:tabs>
          <w:tab w:leader="none" w:pos="2020" w:val="left"/>
        </w:tabs>
        <w:rPr>
          <w:sz w:val="20"/>
          <w:szCs w:val="20"/>
          <w:color w:val="auto"/>
        </w:rPr>
      </w:pPr>
      <w:r>
        <w:rPr>
          <w:rFonts w:ascii="Arial" w:cs="Arial" w:eastAsia="Arial" w:hAnsi="Arial"/>
          <w:sz w:val="15"/>
          <w:szCs w:val="15"/>
          <w:b w:val="1"/>
          <w:bCs w:val="1"/>
          <w:color w:val="265E7C"/>
        </w:rPr>
        <w:t>Invested Capital</w:t>
      </w:r>
      <w:r>
        <w:rPr>
          <w:sz w:val="20"/>
          <w:szCs w:val="20"/>
          <w:color w:val="auto"/>
        </w:rPr>
        <w:tab/>
      </w:r>
      <w:r>
        <w:rPr>
          <w:rFonts w:ascii="Arial" w:cs="Arial" w:eastAsia="Arial" w:hAnsi="Arial"/>
          <w:sz w:val="15"/>
          <w:szCs w:val="15"/>
          <w:color w:val="auto"/>
        </w:rPr>
        <w:t>divided by average invested capital for the same fiscal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338455</wp:posOffset>
            </wp:positionV>
            <wp:extent cx="7141210" cy="158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51" w:lineRule="auto"/>
        <w:rPr>
          <w:sz w:val="20"/>
          <w:szCs w:val="20"/>
          <w:color w:val="auto"/>
        </w:rPr>
      </w:pPr>
      <w:r>
        <w:rPr>
          <w:rFonts w:ascii="Arial" w:cs="Arial" w:eastAsia="Arial" w:hAnsi="Arial"/>
          <w:sz w:val="15"/>
          <w:szCs w:val="15"/>
          <w:color w:val="auto"/>
        </w:rPr>
        <w:t>This metric closely aligns to stockholder value creation by measuring how well the Company is using its capital it has invested to generate profit. It rewards the improvement of EBITDA while using resources wisely, supporting smart investments, and focusing on long-term value.</w:t>
      </w:r>
    </w:p>
    <w:p>
      <w:pPr>
        <w:spacing w:after="0" w:line="174" w:lineRule="exact"/>
        <w:rPr>
          <w:sz w:val="20"/>
          <w:szCs w:val="20"/>
          <w:color w:val="auto"/>
        </w:rPr>
      </w:pPr>
    </w:p>
    <w:p>
      <w:pPr>
        <w:sectPr>
          <w:pgSz w:w="11900" w:h="16838" w:orient="portrait"/>
          <w:cols w:equalWidth="0" w:num="2">
            <w:col w:w="6500" w:space="260"/>
            <w:col w:w="4480"/>
          </w:cols>
          <w:pgMar w:left="320" w:top="231" w:right="339" w:bottom="1440" w:gutter="0" w:footer="0" w:header="0"/>
          <w:type w:val="continuous"/>
        </w:sectPr>
      </w:pPr>
    </w:p>
    <w:p>
      <w:pPr>
        <w:jc w:val="both"/>
        <w:spacing w:after="0" w:line="255" w:lineRule="auto"/>
        <w:rPr>
          <w:sz w:val="20"/>
          <w:szCs w:val="20"/>
          <w:color w:val="auto"/>
        </w:rPr>
      </w:pPr>
      <w:r>
        <w:rPr>
          <w:rFonts w:ascii="Arial" w:cs="Arial" w:eastAsia="Arial" w:hAnsi="Arial"/>
          <w:sz w:val="15"/>
          <w:szCs w:val="15"/>
          <w:color w:val="auto"/>
        </w:rPr>
        <w:t>Performance targets are set based on management’s multi-year forecast of Adjusted EPS Growth and Return on Invested Capital. The maximum possible payout is 200% of target based on our performance against goals for these measures, subject to a further TSR modifier as described below. We disclose the targets for Adjusted EPS Growth and Return on Invested Capital retrospectively due to the competitive harm that could result from disclosing these targets prospectively. However, consistent with stockholder feedback, the performance targets for the performance period that spans fiscal years 2025, 2026 and 2027 reflect rigorous performance goals that are challenging to achieve. The Compensation Committee retains discretion regarding the determination of achievement of the performance metrics.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Once awards are calculated based on Middleby’s performance for the three-year performance period (“Pre-TSR Vested Shares”), the Compensation Committee will</w:t>
      </w:r>
    </w:p>
    <w:p>
      <w:pPr>
        <w:spacing w:after="0" w:line="16" w:lineRule="exact"/>
        <w:rPr>
          <w:sz w:val="20"/>
          <w:szCs w:val="20"/>
          <w:color w:val="auto"/>
        </w:rPr>
      </w:pPr>
    </w:p>
    <w:p>
      <w:pPr>
        <w:jc w:val="both"/>
        <w:spacing w:after="0" w:line="204" w:lineRule="auto"/>
        <w:rPr>
          <w:sz w:val="20"/>
          <w:szCs w:val="20"/>
          <w:color w:val="auto"/>
        </w:rPr>
      </w:pPr>
      <w:r>
        <w:rPr>
          <w:rFonts w:ascii="Arial" w:cs="Arial" w:eastAsia="Arial" w:hAnsi="Arial"/>
          <w:sz w:val="15"/>
          <w:szCs w:val="15"/>
          <w:color w:val="auto"/>
        </w:rPr>
        <w:t>calculate whether the TSR modifier applies. If Middleby’s TSR for the three-year performance period is at or above the 75</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 versus the Peer Group, the final grants to our Named Executive Officers will equal the number of Pre-TSR Vested Shares multiplied by 130%. Conversely, if Middleby’s TSR for the three-year</w:t>
      </w:r>
    </w:p>
    <w:p>
      <w:pPr>
        <w:jc w:val="both"/>
        <w:spacing w:after="0" w:line="204" w:lineRule="auto"/>
        <w:rPr>
          <w:sz w:val="20"/>
          <w:szCs w:val="20"/>
          <w:color w:val="auto"/>
        </w:rPr>
      </w:pPr>
      <w:r>
        <w:rPr>
          <w:rFonts w:ascii="Arial" w:cs="Arial" w:eastAsia="Arial" w:hAnsi="Arial"/>
          <w:sz w:val="15"/>
          <w:szCs w:val="15"/>
          <w:color w:val="auto"/>
        </w:rPr>
        <w:t>performance period is at or below the 25</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 versus the Peer Group, the final grants to our Named Executive Officers will equal the number of Pre-TSR Vested Shares multiplied by 70% (meaning that there is a negative adjustment of 30%). Final awards will equal the number Pre-TSR Vested Shares if Middleby’s TSR for the</w:t>
      </w:r>
    </w:p>
    <w:p>
      <w:pPr>
        <w:spacing w:after="0"/>
        <w:rPr>
          <w:sz w:val="20"/>
          <w:szCs w:val="20"/>
          <w:color w:val="auto"/>
        </w:rPr>
      </w:pPr>
      <w:r>
        <w:rPr>
          <w:rFonts w:ascii="Arial" w:cs="Arial" w:eastAsia="Arial" w:hAnsi="Arial"/>
          <w:sz w:val="15"/>
          <w:szCs w:val="15"/>
          <w:color w:val="auto"/>
        </w:rPr>
        <w:t>three-year performance period falls between the 25</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and 75</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percentiles versus the Peer Group.</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00304D"/>
        </w:rPr>
        <w:t>Time-Based RSUs; Holding Period</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time-based LTI awards vest ratably over three years, so long as the recipient is still employed by the Company. However, the shares underlying the vested RSUs may not be sold or otherwise transferred until the associated performance-based PSUs vest (or fail to vest based on performance). The TSR modifier will not affect the number of time-based RSUs that vest.</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00304D"/>
        </w:rPr>
        <w:t>Vesting of Equity Incentive Awards for 2023-2025 Performance Period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On August 9, 2023, the Company granted performance-based PSU and time-based RSU awards to the NEOs. The performance-based component of the award provided that a portion of the award, up to the maximum number of shares subject to the award, would be earned at the end of a three-year performance period based on the achievement of a multi-year forecast in Adjusted EPS Growth and Enterprise Value Growth (Less Net Debt) per share (as certified by the Compensation Committee in early 2026). The three-year performance period for these awards began on December 31, 2022 and ended on January 3, 2026. The time-based RSU component vested in 1/3 increments on each of March 1, 2024, March 1, 2025 and March 1, 2026, subject to continued employment on each such date.</w:t>
      </w:r>
    </w:p>
    <w:p>
      <w:pPr>
        <w:spacing w:after="0" w:line="14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5E7C"/>
        </w:rPr>
        <w:t>Three-Year Performance Period for 2023-2025</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The aggregate maximum number of performance-based PSUs that were eligible to vest over the three-year performance period ended January 3, 2026 (after including the +-30% TSR modifier) equaled 72,378 for Mr. FitzGerald, 20,598 for Mr. Mittelman, 28,246 for Mr. Pool, 28,264 for Mr. Spittle, and 16,032 for Mr. Fuchsen. The performance criteria for the Adjusted EPS Growth and Enterprise Value Growth (Less Net Debt) per share performance metrics is the growth achieved over the base year as compared to the average of the results for each year in the performance period. The following chart illustrates the percentage of awarded PSUs that were eligible to vest at various levels of Adjusted EPS Growth and Enterprise Value Growth (Less Net Debt) per share achievement over the three-year performance period ending January 3, 2026 prior to adjustment pursuant to the +-30% TSR modifier:</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5080" w:type="dxa"/>
            <w:vAlign w:val="bottom"/>
            <w:tcBorders>
              <w:bottom w:val="single" w:sz="8" w:color="002F4D"/>
            </w:tcBorders>
            <w:gridSpan w:val="2"/>
          </w:tcPr>
          <w:p>
            <w:pPr>
              <w:jc w:val="right"/>
              <w:ind w:right="84"/>
              <w:spacing w:after="0"/>
              <w:rPr>
                <w:sz w:val="20"/>
                <w:szCs w:val="20"/>
                <w:color w:val="auto"/>
              </w:rPr>
            </w:pPr>
            <w:r>
              <w:rPr>
                <w:rFonts w:ascii="Arial" w:cs="Arial" w:eastAsia="Arial" w:hAnsi="Arial"/>
                <w:sz w:val="15"/>
                <w:szCs w:val="15"/>
                <w:b w:val="1"/>
                <w:bCs w:val="1"/>
                <w:color w:val="00304D"/>
              </w:rPr>
              <w:t>3 Year Enterprise Value Growth (Less Net Debt) per share</w:t>
            </w:r>
          </w:p>
        </w:tc>
        <w:tc>
          <w:tcPr>
            <w:tcW w:w="640" w:type="dxa"/>
            <w:vAlign w:val="bottom"/>
            <w:tcBorders>
              <w:bottom w:val="single" w:sz="8" w:color="002F4D"/>
            </w:tcBorders>
          </w:tcPr>
          <w:p>
            <w:pPr>
              <w:spacing w:after="0"/>
              <w:rPr>
                <w:sz w:val="17"/>
                <w:szCs w:val="17"/>
                <w:color w:val="auto"/>
              </w:rPr>
            </w:pPr>
          </w:p>
        </w:tc>
      </w:tr>
      <w:tr>
        <w:trPr>
          <w:trHeight w:val="157"/>
        </w:trPr>
        <w:tc>
          <w:tcPr>
            <w:tcW w:w="38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3280" w:type="dxa"/>
            <w:vAlign w:val="bottom"/>
          </w:tcPr>
          <w:p>
            <w:pPr>
              <w:jc w:val="right"/>
              <w:ind w:right="384"/>
              <w:spacing w:after="0" w:line="157" w:lineRule="exact"/>
              <w:rPr>
                <w:sz w:val="20"/>
                <w:szCs w:val="20"/>
                <w:color w:val="auto"/>
              </w:rPr>
            </w:pPr>
            <w:r>
              <w:rPr>
                <w:rFonts w:ascii="Arial" w:cs="Arial" w:eastAsia="Arial" w:hAnsi="Arial"/>
                <w:sz w:val="15"/>
                <w:szCs w:val="15"/>
                <w:b w:val="1"/>
                <w:bCs w:val="1"/>
                <w:color w:val="00304D"/>
              </w:rPr>
              <w:t>10%</w:t>
            </w:r>
          </w:p>
        </w:tc>
        <w:tc>
          <w:tcPr>
            <w:tcW w:w="1800" w:type="dxa"/>
            <w:vAlign w:val="bottom"/>
          </w:tcPr>
          <w:p>
            <w:pPr>
              <w:jc w:val="right"/>
              <w:ind w:right="724"/>
              <w:spacing w:after="0" w:line="157" w:lineRule="exact"/>
              <w:rPr>
                <w:sz w:val="20"/>
                <w:szCs w:val="20"/>
                <w:color w:val="auto"/>
              </w:rPr>
            </w:pPr>
            <w:r>
              <w:rPr>
                <w:rFonts w:ascii="Arial" w:cs="Arial" w:eastAsia="Arial" w:hAnsi="Arial"/>
                <w:sz w:val="15"/>
                <w:szCs w:val="15"/>
                <w:b w:val="1"/>
                <w:bCs w:val="1"/>
                <w:color w:val="00304D"/>
              </w:rPr>
              <w:t>17.5%</w:t>
            </w:r>
          </w:p>
        </w:tc>
        <w:tc>
          <w:tcPr>
            <w:tcW w:w="640" w:type="dxa"/>
            <w:vAlign w:val="bottom"/>
          </w:tcPr>
          <w:p>
            <w:pPr>
              <w:jc w:val="right"/>
              <w:spacing w:after="0" w:line="157" w:lineRule="exact"/>
              <w:rPr>
                <w:sz w:val="20"/>
                <w:szCs w:val="20"/>
                <w:color w:val="auto"/>
              </w:rPr>
            </w:pPr>
            <w:r>
              <w:rPr>
                <w:rFonts w:ascii="Arial" w:cs="Arial" w:eastAsia="Arial" w:hAnsi="Arial"/>
                <w:sz w:val="15"/>
                <w:szCs w:val="15"/>
                <w:b w:val="1"/>
                <w:bCs w:val="1"/>
                <w:color w:val="00304D"/>
              </w:rPr>
              <w:t>32.5%</w:t>
            </w:r>
          </w:p>
        </w:tc>
      </w:tr>
      <w:tr>
        <w:trPr>
          <w:trHeight w:val="189"/>
        </w:trPr>
        <w:tc>
          <w:tcPr>
            <w:tcW w:w="5520" w:type="dxa"/>
            <w:vAlign w:val="bottom"/>
            <w:tcBorders>
              <w:bottom w:val="single" w:sz="8" w:color="002F4D"/>
            </w:tcBorders>
            <w:gridSpan w:val="2"/>
          </w:tcPr>
          <w:p>
            <w:pPr>
              <w:ind w:left="60"/>
              <w:spacing w:after="0"/>
              <w:rPr>
                <w:sz w:val="20"/>
                <w:szCs w:val="20"/>
                <w:color w:val="auto"/>
              </w:rPr>
            </w:pPr>
            <w:r>
              <w:rPr>
                <w:rFonts w:ascii="Arial" w:cs="Arial" w:eastAsia="Arial" w:hAnsi="Arial"/>
                <w:sz w:val="15"/>
                <w:szCs w:val="15"/>
                <w:b w:val="1"/>
                <w:bCs w:val="1"/>
                <w:color w:val="00304D"/>
              </w:rPr>
              <w:t>3 Year Adjusted EPS Growth</w:t>
            </w:r>
          </w:p>
        </w:tc>
        <w:tc>
          <w:tcPr>
            <w:tcW w:w="3280" w:type="dxa"/>
            <w:vAlign w:val="bottom"/>
            <w:tcBorders>
              <w:bottom w:val="single" w:sz="8" w:color="002F4D"/>
            </w:tcBorders>
          </w:tcPr>
          <w:p>
            <w:pPr>
              <w:jc w:val="right"/>
              <w:ind w:right="384"/>
              <w:spacing w:after="0"/>
              <w:rPr>
                <w:sz w:val="20"/>
                <w:szCs w:val="20"/>
                <w:color w:val="auto"/>
              </w:rPr>
            </w:pPr>
            <w:r>
              <w:rPr>
                <w:rFonts w:ascii="Arial" w:cs="Arial" w:eastAsia="Arial" w:hAnsi="Arial"/>
                <w:sz w:val="15"/>
                <w:szCs w:val="15"/>
                <w:b w:val="1"/>
                <w:bCs w:val="1"/>
                <w:color w:val="00304D"/>
              </w:rPr>
              <w:t>(threshold)</w:t>
            </w:r>
          </w:p>
        </w:tc>
        <w:tc>
          <w:tcPr>
            <w:tcW w:w="1800" w:type="dxa"/>
            <w:vAlign w:val="bottom"/>
            <w:tcBorders>
              <w:bottom w:val="single" w:sz="8" w:color="002F4D"/>
            </w:tcBorders>
          </w:tcPr>
          <w:p>
            <w:pPr>
              <w:jc w:val="right"/>
              <w:ind w:right="724"/>
              <w:spacing w:after="0"/>
              <w:rPr>
                <w:sz w:val="20"/>
                <w:szCs w:val="20"/>
                <w:color w:val="auto"/>
              </w:rPr>
            </w:pPr>
            <w:r>
              <w:rPr>
                <w:rFonts w:ascii="Arial" w:cs="Arial" w:eastAsia="Arial" w:hAnsi="Arial"/>
                <w:sz w:val="15"/>
                <w:szCs w:val="15"/>
                <w:b w:val="1"/>
                <w:bCs w:val="1"/>
                <w:color w:val="00304D"/>
              </w:rPr>
              <w:t>(target)</w:t>
            </w:r>
          </w:p>
        </w:tc>
        <w:tc>
          <w:tcPr>
            <w:tcW w:w="640" w:type="dxa"/>
            <w:vAlign w:val="bottom"/>
            <w:tcBorders>
              <w:bottom w:val="single" w:sz="8" w:color="002F4D"/>
            </w:tcBorders>
          </w:tcPr>
          <w:p>
            <w:pPr>
              <w:jc w:val="right"/>
              <w:spacing w:after="0"/>
              <w:rPr>
                <w:sz w:val="20"/>
                <w:szCs w:val="20"/>
                <w:color w:val="auto"/>
              </w:rPr>
            </w:pPr>
            <w:r>
              <w:rPr>
                <w:rFonts w:ascii="Arial" w:cs="Arial" w:eastAsia="Arial" w:hAnsi="Arial"/>
                <w:sz w:val="15"/>
                <w:szCs w:val="15"/>
                <w:b w:val="1"/>
                <w:bCs w:val="1"/>
                <w:color w:val="00304D"/>
              </w:rPr>
              <w:t>(max)</w:t>
            </w:r>
          </w:p>
        </w:tc>
      </w:tr>
      <w:tr>
        <w:trPr>
          <w:trHeight w:val="182"/>
        </w:trPr>
        <w:tc>
          <w:tcPr>
            <w:tcW w:w="5520" w:type="dxa"/>
            <w:vAlign w:val="bottom"/>
            <w:tcBorders>
              <w:bottom w:val="single" w:sz="8" w:color="002F4D"/>
            </w:tcBorders>
            <w:gridSpan w:val="2"/>
          </w:tcPr>
          <w:p>
            <w:pPr>
              <w:ind w:left="60"/>
              <w:spacing w:after="0"/>
              <w:rPr>
                <w:sz w:val="20"/>
                <w:szCs w:val="20"/>
                <w:color w:val="auto"/>
              </w:rPr>
            </w:pPr>
            <w:r>
              <w:rPr>
                <w:rFonts w:ascii="Arial" w:cs="Arial" w:eastAsia="Arial" w:hAnsi="Arial"/>
                <w:sz w:val="15"/>
                <w:szCs w:val="15"/>
                <w:b w:val="1"/>
                <w:bCs w:val="1"/>
                <w:color w:val="auto"/>
              </w:rPr>
              <w:t>7.5% (threshold)</w:t>
            </w:r>
          </w:p>
        </w:tc>
        <w:tc>
          <w:tcPr>
            <w:tcW w:w="3280" w:type="dxa"/>
            <w:vAlign w:val="bottom"/>
            <w:tcBorders>
              <w:bottom w:val="single" w:sz="8" w:color="002F4D"/>
            </w:tcBorders>
          </w:tcPr>
          <w:p>
            <w:pPr>
              <w:jc w:val="right"/>
              <w:ind w:right="384"/>
              <w:spacing w:after="0"/>
              <w:rPr>
                <w:sz w:val="20"/>
                <w:szCs w:val="20"/>
                <w:color w:val="auto"/>
              </w:rPr>
            </w:pPr>
            <w:r>
              <w:rPr>
                <w:rFonts w:ascii="Arial" w:cs="Arial" w:eastAsia="Arial" w:hAnsi="Arial"/>
                <w:sz w:val="15"/>
                <w:szCs w:val="15"/>
                <w:color w:val="auto"/>
              </w:rPr>
              <w:t>50%</w:t>
            </w:r>
          </w:p>
        </w:tc>
        <w:tc>
          <w:tcPr>
            <w:tcW w:w="1800" w:type="dxa"/>
            <w:vAlign w:val="bottom"/>
            <w:tcBorders>
              <w:bottom w:val="single" w:sz="8" w:color="002F4D"/>
            </w:tcBorders>
          </w:tcPr>
          <w:p>
            <w:pPr>
              <w:jc w:val="right"/>
              <w:ind w:right="724"/>
              <w:spacing w:after="0"/>
              <w:rPr>
                <w:sz w:val="20"/>
                <w:szCs w:val="20"/>
                <w:color w:val="auto"/>
              </w:rPr>
            </w:pPr>
            <w:r>
              <w:rPr>
                <w:rFonts w:ascii="Arial" w:cs="Arial" w:eastAsia="Arial" w:hAnsi="Arial"/>
                <w:sz w:val="15"/>
                <w:szCs w:val="15"/>
                <w:color w:val="auto"/>
              </w:rPr>
              <w:t>75%</w:t>
            </w:r>
          </w:p>
        </w:tc>
        <w:tc>
          <w:tcPr>
            <w:tcW w:w="6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150%</w:t>
            </w:r>
          </w:p>
        </w:tc>
      </w:tr>
      <w:tr>
        <w:trPr>
          <w:trHeight w:val="182"/>
        </w:trPr>
        <w:tc>
          <w:tcPr>
            <w:tcW w:w="38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auto"/>
                <w:w w:val="99"/>
              </w:rPr>
              <w:t>15%</w:t>
            </w:r>
          </w:p>
        </w:tc>
        <w:tc>
          <w:tcPr>
            <w:tcW w:w="5140" w:type="dxa"/>
            <w:vAlign w:val="bottom"/>
            <w:tcBorders>
              <w:bottom w:val="single" w:sz="8" w:color="002F4D"/>
            </w:tcBorders>
          </w:tcPr>
          <w:p>
            <w:pPr>
              <w:ind w:left="20"/>
              <w:spacing w:after="0"/>
              <w:rPr>
                <w:sz w:val="20"/>
                <w:szCs w:val="20"/>
                <w:color w:val="auto"/>
              </w:rPr>
            </w:pPr>
            <w:r>
              <w:rPr>
                <w:rFonts w:ascii="Arial" w:cs="Arial" w:eastAsia="Arial" w:hAnsi="Arial"/>
                <w:sz w:val="15"/>
                <w:szCs w:val="15"/>
                <w:b w:val="1"/>
                <w:bCs w:val="1"/>
                <w:color w:val="auto"/>
              </w:rPr>
              <w:t>(target)</w:t>
            </w:r>
          </w:p>
        </w:tc>
        <w:tc>
          <w:tcPr>
            <w:tcW w:w="3280" w:type="dxa"/>
            <w:vAlign w:val="bottom"/>
            <w:tcBorders>
              <w:bottom w:val="single" w:sz="8" w:color="002F4D"/>
            </w:tcBorders>
          </w:tcPr>
          <w:p>
            <w:pPr>
              <w:jc w:val="right"/>
              <w:ind w:right="384"/>
              <w:spacing w:after="0"/>
              <w:rPr>
                <w:sz w:val="20"/>
                <w:szCs w:val="20"/>
                <w:color w:val="auto"/>
              </w:rPr>
            </w:pPr>
            <w:r>
              <w:rPr>
                <w:rFonts w:ascii="Arial" w:cs="Arial" w:eastAsia="Arial" w:hAnsi="Arial"/>
                <w:sz w:val="15"/>
                <w:szCs w:val="15"/>
                <w:color w:val="auto"/>
              </w:rPr>
              <w:t>75%</w:t>
            </w:r>
          </w:p>
        </w:tc>
        <w:tc>
          <w:tcPr>
            <w:tcW w:w="1800" w:type="dxa"/>
            <w:vAlign w:val="bottom"/>
            <w:tcBorders>
              <w:bottom w:val="single" w:sz="8" w:color="002F4D"/>
            </w:tcBorders>
          </w:tcPr>
          <w:p>
            <w:pPr>
              <w:jc w:val="right"/>
              <w:ind w:right="724"/>
              <w:spacing w:after="0"/>
              <w:rPr>
                <w:sz w:val="20"/>
                <w:szCs w:val="20"/>
                <w:color w:val="auto"/>
              </w:rPr>
            </w:pPr>
            <w:r>
              <w:rPr>
                <w:rFonts w:ascii="Arial" w:cs="Arial" w:eastAsia="Arial" w:hAnsi="Arial"/>
                <w:sz w:val="15"/>
                <w:szCs w:val="15"/>
                <w:color w:val="auto"/>
              </w:rPr>
              <w:t>100%</w:t>
            </w:r>
          </w:p>
        </w:tc>
        <w:tc>
          <w:tcPr>
            <w:tcW w:w="6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150%</w:t>
            </w:r>
          </w:p>
        </w:tc>
      </w:tr>
      <w:tr>
        <w:trPr>
          <w:trHeight w:val="187"/>
        </w:trPr>
        <w:tc>
          <w:tcPr>
            <w:tcW w:w="38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auto"/>
                <w:w w:val="99"/>
              </w:rPr>
              <w:t>30%</w:t>
            </w:r>
          </w:p>
        </w:tc>
        <w:tc>
          <w:tcPr>
            <w:tcW w:w="5140" w:type="dxa"/>
            <w:vAlign w:val="bottom"/>
            <w:tcBorders>
              <w:bottom w:val="single" w:sz="8" w:color="002F4D"/>
            </w:tcBorders>
          </w:tcPr>
          <w:p>
            <w:pPr>
              <w:ind w:left="20"/>
              <w:spacing w:after="0"/>
              <w:rPr>
                <w:sz w:val="20"/>
                <w:szCs w:val="20"/>
                <w:color w:val="auto"/>
              </w:rPr>
            </w:pPr>
            <w:r>
              <w:rPr>
                <w:rFonts w:ascii="Arial" w:cs="Arial" w:eastAsia="Arial" w:hAnsi="Arial"/>
                <w:sz w:val="15"/>
                <w:szCs w:val="15"/>
                <w:b w:val="1"/>
                <w:bCs w:val="1"/>
                <w:color w:val="auto"/>
              </w:rPr>
              <w:t>(max)</w:t>
            </w:r>
          </w:p>
        </w:tc>
        <w:tc>
          <w:tcPr>
            <w:tcW w:w="3280" w:type="dxa"/>
            <w:vAlign w:val="bottom"/>
            <w:tcBorders>
              <w:bottom w:val="single" w:sz="8" w:color="002F4D"/>
            </w:tcBorders>
          </w:tcPr>
          <w:p>
            <w:pPr>
              <w:jc w:val="right"/>
              <w:ind w:right="384"/>
              <w:spacing w:after="0"/>
              <w:rPr>
                <w:sz w:val="20"/>
                <w:szCs w:val="20"/>
                <w:color w:val="auto"/>
              </w:rPr>
            </w:pPr>
            <w:r>
              <w:rPr>
                <w:rFonts w:ascii="Arial" w:cs="Arial" w:eastAsia="Arial" w:hAnsi="Arial"/>
                <w:sz w:val="15"/>
                <w:szCs w:val="15"/>
                <w:color w:val="auto"/>
              </w:rPr>
              <w:t>150%</w:t>
            </w:r>
          </w:p>
        </w:tc>
        <w:tc>
          <w:tcPr>
            <w:tcW w:w="1800" w:type="dxa"/>
            <w:vAlign w:val="bottom"/>
            <w:tcBorders>
              <w:bottom w:val="single" w:sz="8" w:color="002F4D"/>
            </w:tcBorders>
          </w:tcPr>
          <w:p>
            <w:pPr>
              <w:jc w:val="right"/>
              <w:ind w:right="724"/>
              <w:spacing w:after="0"/>
              <w:rPr>
                <w:sz w:val="20"/>
                <w:szCs w:val="20"/>
                <w:color w:val="auto"/>
              </w:rPr>
            </w:pPr>
            <w:r>
              <w:rPr>
                <w:rFonts w:ascii="Arial" w:cs="Arial" w:eastAsia="Arial" w:hAnsi="Arial"/>
                <w:sz w:val="15"/>
                <w:szCs w:val="15"/>
                <w:color w:val="auto"/>
              </w:rPr>
              <w:t>150%</w:t>
            </w:r>
          </w:p>
        </w:tc>
        <w:tc>
          <w:tcPr>
            <w:tcW w:w="6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200%</w:t>
            </w:r>
          </w:p>
        </w:tc>
      </w:tr>
    </w:tbl>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For the three-year performance period ended January 3, 2026 the Compensation Committee determined that the Adjusted EPS Growth and Enterprise Value Growth, (Less Net Debt) Per Share performance metrics were 50.4% and 58.8%, respectively, and that the TSR performance metric was below the 25th percentile, resulting in a negative adjustment of 30%. Accordingly, the Compensation Committee approved vesting of the Adjusted EPS Growth PSUs for the 2023-2025 performance period at 35% of target (also reflecting the downward adjustment pursuant to the +-30% TSR modifier), and vesting of the Enterprise Value Growth, (Less Net Debt) Per Share PSUs for the 2023-2025 performance period at 41% of target (also reflecting the downward adjustment pursuant to the +-30% TSR modifier). Shares vested for each NEO as set forth in the chart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4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00304D"/>
              </w:rPr>
              <w:t>Named Executive Officer</w:t>
            </w:r>
          </w:p>
        </w:tc>
        <w:tc>
          <w:tcPr>
            <w:tcW w:w="4800" w:type="dxa"/>
            <w:vAlign w:val="bottom"/>
            <w:tcBorders>
              <w:bottom w:val="single" w:sz="8" w:color="002F4D"/>
            </w:tcBorders>
          </w:tcPr>
          <w:p>
            <w:pPr>
              <w:jc w:val="right"/>
              <w:spacing w:after="0"/>
              <w:rPr>
                <w:sz w:val="20"/>
                <w:szCs w:val="20"/>
                <w:color w:val="auto"/>
              </w:rPr>
            </w:pPr>
            <w:r>
              <w:rPr>
                <w:rFonts w:ascii="Arial" w:cs="Arial" w:eastAsia="Arial" w:hAnsi="Arial"/>
                <w:sz w:val="15"/>
                <w:szCs w:val="15"/>
                <w:b w:val="1"/>
                <w:bCs w:val="1"/>
                <w:color w:val="00304D"/>
              </w:rPr>
              <w:t>Vested Performance-Based PSUs</w:t>
            </w:r>
          </w:p>
        </w:tc>
      </w:tr>
      <w:tr>
        <w:trPr>
          <w:trHeight w:val="169"/>
        </w:trPr>
        <w:tc>
          <w:tcPr>
            <w:tcW w:w="644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color w:val="auto"/>
              </w:rPr>
              <w:t>Timothy J. FitzGerald (CEO)</w:t>
            </w:r>
          </w:p>
        </w:tc>
        <w:tc>
          <w:tcPr>
            <w:tcW w:w="4800" w:type="dxa"/>
            <w:vAlign w:val="bottom"/>
            <w:tcBorders>
              <w:bottom w:val="single" w:sz="8" w:color="002F4D"/>
            </w:tcBorders>
          </w:tcPr>
          <w:p>
            <w:pPr>
              <w:jc w:val="right"/>
              <w:spacing w:after="0" w:line="169" w:lineRule="exact"/>
              <w:rPr>
                <w:sz w:val="20"/>
                <w:szCs w:val="20"/>
                <w:color w:val="auto"/>
              </w:rPr>
            </w:pPr>
            <w:r>
              <w:rPr>
                <w:rFonts w:ascii="Arial" w:cs="Arial" w:eastAsia="Arial" w:hAnsi="Arial"/>
                <w:sz w:val="15"/>
                <w:szCs w:val="15"/>
                <w:color w:val="auto"/>
              </w:rPr>
              <w:t>10,579</w:t>
            </w:r>
          </w:p>
        </w:tc>
      </w:tr>
      <w:tr>
        <w:trPr>
          <w:trHeight w:val="169"/>
        </w:trPr>
        <w:tc>
          <w:tcPr>
            <w:tcW w:w="644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color w:val="auto"/>
              </w:rPr>
              <w:t>Bryan E. Mittelman (CFO)</w:t>
            </w:r>
          </w:p>
        </w:tc>
        <w:tc>
          <w:tcPr>
            <w:tcW w:w="4800" w:type="dxa"/>
            <w:vAlign w:val="bottom"/>
            <w:tcBorders>
              <w:bottom w:val="single" w:sz="8" w:color="002F4D"/>
            </w:tcBorders>
          </w:tcPr>
          <w:p>
            <w:pPr>
              <w:jc w:val="right"/>
              <w:spacing w:after="0" w:line="169" w:lineRule="exact"/>
              <w:rPr>
                <w:sz w:val="20"/>
                <w:szCs w:val="20"/>
                <w:color w:val="auto"/>
              </w:rPr>
            </w:pPr>
            <w:r>
              <w:rPr>
                <w:rFonts w:ascii="Arial" w:cs="Arial" w:eastAsia="Arial" w:hAnsi="Arial"/>
                <w:sz w:val="15"/>
                <w:szCs w:val="15"/>
                <w:color w:val="auto"/>
              </w:rPr>
              <w:t>3,012</w:t>
            </w:r>
          </w:p>
        </w:tc>
      </w:tr>
      <w:tr>
        <w:trPr>
          <w:trHeight w:val="169"/>
        </w:trPr>
        <w:tc>
          <w:tcPr>
            <w:tcW w:w="644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color w:val="auto"/>
              </w:rPr>
              <w:t>James K. Pool III (Chief Technology and Operations Officer)</w:t>
            </w:r>
          </w:p>
        </w:tc>
        <w:tc>
          <w:tcPr>
            <w:tcW w:w="4800" w:type="dxa"/>
            <w:vAlign w:val="bottom"/>
            <w:tcBorders>
              <w:bottom w:val="single" w:sz="8" w:color="002F4D"/>
            </w:tcBorders>
          </w:tcPr>
          <w:p>
            <w:pPr>
              <w:jc w:val="right"/>
              <w:spacing w:after="0" w:line="169" w:lineRule="exact"/>
              <w:rPr>
                <w:sz w:val="20"/>
                <w:szCs w:val="20"/>
                <w:color w:val="auto"/>
              </w:rPr>
            </w:pPr>
            <w:r>
              <w:rPr>
                <w:rFonts w:ascii="Arial" w:cs="Arial" w:eastAsia="Arial" w:hAnsi="Arial"/>
                <w:sz w:val="15"/>
                <w:szCs w:val="15"/>
                <w:color w:val="auto"/>
              </w:rPr>
              <w:t>4,130</w:t>
            </w:r>
          </w:p>
        </w:tc>
      </w:tr>
      <w:tr>
        <w:trPr>
          <w:trHeight w:val="169"/>
        </w:trPr>
        <w:tc>
          <w:tcPr>
            <w:tcW w:w="644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color w:val="auto"/>
              </w:rPr>
              <w:t>Steven P. Spittle (Chief Commercial Officer)</w:t>
            </w:r>
          </w:p>
        </w:tc>
        <w:tc>
          <w:tcPr>
            <w:tcW w:w="4800" w:type="dxa"/>
            <w:vAlign w:val="bottom"/>
            <w:tcBorders>
              <w:bottom w:val="single" w:sz="8" w:color="002F4D"/>
            </w:tcBorders>
          </w:tcPr>
          <w:p>
            <w:pPr>
              <w:jc w:val="right"/>
              <w:spacing w:after="0" w:line="169" w:lineRule="exact"/>
              <w:rPr>
                <w:sz w:val="20"/>
                <w:szCs w:val="20"/>
                <w:color w:val="auto"/>
              </w:rPr>
            </w:pPr>
            <w:r>
              <w:rPr>
                <w:rFonts w:ascii="Arial" w:cs="Arial" w:eastAsia="Arial" w:hAnsi="Arial"/>
                <w:sz w:val="15"/>
                <w:szCs w:val="15"/>
                <w:color w:val="auto"/>
              </w:rPr>
              <w:t>4,130</w:t>
            </w:r>
          </w:p>
        </w:tc>
      </w:tr>
      <w:tr>
        <w:trPr>
          <w:trHeight w:val="175"/>
        </w:trPr>
        <w:tc>
          <w:tcPr>
            <w:tcW w:w="644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color w:val="auto"/>
              </w:rPr>
              <w:t>Matthew R. Fuchsen (Chief Development Officer)</w:t>
            </w:r>
          </w:p>
        </w:tc>
        <w:tc>
          <w:tcPr>
            <w:tcW w:w="4800" w:type="dxa"/>
            <w:vAlign w:val="bottom"/>
            <w:tcBorders>
              <w:bottom w:val="single" w:sz="8" w:color="002F4D"/>
            </w:tcBorders>
          </w:tcPr>
          <w:p>
            <w:pPr>
              <w:jc w:val="right"/>
              <w:spacing w:after="0" w:line="169" w:lineRule="exact"/>
              <w:rPr>
                <w:sz w:val="20"/>
                <w:szCs w:val="20"/>
                <w:color w:val="auto"/>
              </w:rPr>
            </w:pPr>
            <w:r>
              <w:rPr>
                <w:rFonts w:ascii="Arial" w:cs="Arial" w:eastAsia="Arial" w:hAnsi="Arial"/>
                <w:sz w:val="15"/>
                <w:szCs w:val="15"/>
                <w:color w:val="auto"/>
              </w:rPr>
              <w:t>2,345</w:t>
            </w:r>
          </w:p>
        </w:tc>
      </w:tr>
    </w:tbl>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For the 2023-2025 performance period, the long-term equity incentives earned by the NEOs at approximately 38% of target demonstrates the alignment of the Company’s long term incentive program with the Company’s long-term performance and achievement of the Company’s strategic plan in the interests of the Company’s stockholders.</w:t>
      </w:r>
    </w:p>
    <w:p>
      <w:pPr>
        <w:spacing w:after="0" w:line="138"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number of shares of time-based RSUs that were awarded to the NEOs on August 8, 2023 totaled 13,919 shares to Mr. FitzGerald, 3,960 shares to Mr. Mittelman, 5,431 shares to Mr. Pool, 5,431 shares to Mr. Spittle, and 3,084 shares to Mr. Fuchsen. 1/3 of these awards vested on March 1, 2026.</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00304D"/>
        </w:rPr>
        <w:t>Stock Ownership Guidelines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Company guidelines require our Named Executive Officers to own a prescribed amount of Middleby common stock, expressed as a multiple of their respective base salaries. The base salary multiples are set by the Compensation Committee at levels consistent with the individual’s level of responsibility within the Company. Unvested time-based RSUs count toward an executive’s required holdings, but unvested performance-based equity does not. Any covered executives who have not yet met their stock ownership requirements are required to retain 50% of all net shares (post tax) that vest until the minimum share ownership requirement is achieved. Stock options are not counted in the ownership calculation.</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2025, all of our Named Executive Officers exceeded the minimum stock ownership requirements,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2461260</wp:posOffset>
            </wp:positionH>
            <wp:positionV relativeFrom="paragraph">
              <wp:posOffset>122555</wp:posOffset>
            </wp:positionV>
            <wp:extent cx="2219960" cy="23641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219960" cy="2364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41" w:name="page42"/>
    <w:bookmarkEnd w:id="41"/>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00304D"/>
        </w:rPr>
        <w:t>Clawback Policy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Company maintains a Clawback Policy, which requires reimbursement or forfeiture of all or a portion of any incentive compensation (which includes annual bonuses and other short-and long-term cash incentives, stock options, stock appreciation rights, restricted stock, restricted stock units, performance shares and performance units) received by a current or former executive officer during the preceding three completed fiscal years in the event that:</w:t>
      </w:r>
    </w:p>
    <w:p>
      <w:pPr>
        <w:spacing w:after="0" w:line="138" w:lineRule="exact"/>
        <w:rPr>
          <w:sz w:val="20"/>
          <w:szCs w:val="20"/>
          <w:color w:val="auto"/>
        </w:rPr>
      </w:pPr>
    </w:p>
    <w:p>
      <w:pPr>
        <w:ind w:left="300" w:hanging="299"/>
        <w:spacing w:after="0" w:line="282" w:lineRule="auto"/>
        <w:tabs>
          <w:tab w:leader="none" w:pos="300" w:val="left"/>
        </w:tabs>
        <w:numPr>
          <w:ilvl w:val="0"/>
          <w:numId w:val="32"/>
        </w:numPr>
        <w:rPr>
          <w:rFonts w:ascii="Arial" w:cs="Arial" w:eastAsia="Arial" w:hAnsi="Arial"/>
          <w:sz w:val="15"/>
          <w:szCs w:val="15"/>
          <w:b w:val="1"/>
          <w:bCs w:val="1"/>
          <w:color w:val="265E7C"/>
        </w:rPr>
      </w:pPr>
      <w:r>
        <w:rPr>
          <w:rFonts w:ascii="Arial" w:cs="Arial" w:eastAsia="Arial" w:hAnsi="Arial"/>
          <w:sz w:val="15"/>
          <w:szCs w:val="15"/>
          <w:color w:val="auto"/>
        </w:rPr>
        <w:t>the Company is required to prepare an accounting restatement of its financial statements due to material noncompliance with any financial reporting requirement under securities law, and</w:t>
      </w:r>
    </w:p>
    <w:p>
      <w:pPr>
        <w:spacing w:after="0" w:line="23" w:lineRule="exact"/>
        <w:rPr>
          <w:rFonts w:ascii="Arial" w:cs="Arial" w:eastAsia="Arial" w:hAnsi="Arial"/>
          <w:sz w:val="15"/>
          <w:szCs w:val="15"/>
          <w:b w:val="1"/>
          <w:bCs w:val="1"/>
          <w:color w:val="265E7C"/>
        </w:rPr>
      </w:pPr>
    </w:p>
    <w:p>
      <w:pPr>
        <w:ind w:left="300" w:hanging="299"/>
        <w:spacing w:after="0"/>
        <w:tabs>
          <w:tab w:leader="none" w:pos="300" w:val="left"/>
        </w:tabs>
        <w:numPr>
          <w:ilvl w:val="0"/>
          <w:numId w:val="32"/>
        </w:numPr>
        <w:rPr>
          <w:rFonts w:ascii="Arial" w:cs="Arial" w:eastAsia="Arial" w:hAnsi="Arial"/>
          <w:sz w:val="15"/>
          <w:szCs w:val="15"/>
          <w:b w:val="1"/>
          <w:bCs w:val="1"/>
          <w:color w:val="265E7C"/>
        </w:rPr>
      </w:pPr>
      <w:r>
        <w:rPr>
          <w:rFonts w:ascii="Arial" w:cs="Arial" w:eastAsia="Arial" w:hAnsi="Arial"/>
          <w:sz w:val="15"/>
          <w:szCs w:val="15"/>
          <w:color w:val="auto"/>
        </w:rPr>
        <w:t>the restated result indicates that an executive officer received additional incentive compensation based on the erroneous data.</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Company is entitled to recover the amount of excess incentive compensation paid to any executive officer over the incentive compensation that would have been paid to the executive officer had it been based on the restated results, as determined by the Board. The Clawback Policy is intended to comply with Exchange Act Rule 10D-1 and the Nasdaq listing standards regarding recovery of erroneously awarded compensation in the event of an accounting restatement.</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00304D"/>
        </w:rPr>
        <w:t>Additional Compensation Information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5E7C"/>
        </w:rPr>
        <w:t>Derivatives Trading, Hedging and Pledging</w:t>
      </w:r>
    </w:p>
    <w:p>
      <w:pPr>
        <w:spacing w:after="0" w:line="15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Pursuant to our Insider Trading Compliance Program, all employees, officers, and directors are prohibited from engaging in any speculative transactions in Middleby stock, including engaging in short sales; transactions involving put options, call options, or other derivative securities; or any other forms of hedging transaction, such as collars or forward sale contracts, designed to decrease the risks associated with holding Middleby stock, except in certain circumstances that must be pre-cleared with the Company’s insider trading compliance officers.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5E7C"/>
        </w:rPr>
        <w:t>Post-Employment Benefits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The Company provides certain limited post-employment benefits, as described under “</w:t>
      </w:r>
      <w:r>
        <w:rPr>
          <w:rFonts w:ascii="Arial" w:cs="Arial" w:eastAsia="Arial" w:hAnsi="Arial"/>
          <w:sz w:val="15"/>
          <w:szCs w:val="15"/>
          <w:i w:val="1"/>
          <w:iCs w:val="1"/>
          <w:color w:val="auto"/>
        </w:rPr>
        <w:t>Potential Payments Upon Termination or Change in Control</w:t>
      </w:r>
      <w:r>
        <w:rPr>
          <w:rFonts w:ascii="Arial" w:cs="Arial" w:eastAsia="Arial" w:hAnsi="Arial"/>
          <w:sz w:val="15"/>
          <w:szCs w:val="15"/>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5E7C"/>
        </w:rPr>
        <w:t>Limited Perquisites 401(k) Plan</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Our Named Executive Officers and senior executives receive only limited perquisites. Middleby does not offer our NEOs automobile allowances, club memberships, or other professional fee reimbursements.</w:t>
      </w:r>
    </w:p>
    <w:p>
      <w:pPr>
        <w:spacing w:after="0" w:line="125"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We maintain a 401(k) retirement savings plan for our employees in the United States, including our Named Executive Officers. Our Named Executive Officers are eligible to participate in the 401(k) plan on the same terms as other full-time employees. Our Named Executive Officers do not participate in any other Company retirement plans.</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5E7C"/>
        </w:rPr>
        <w:t>Employment Agreements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To attract and retain highly skilled executives and to provide for certainty regarding rights and obligations, the Company has historically provided employment agreements to our Chief Executive Officer and certain other executive officers. None of the NEOs other than Mr. FitzGerald have an employment agreement with the Company. For more information, see “</w:t>
      </w:r>
      <w:r>
        <w:rPr>
          <w:rFonts w:ascii="Arial" w:cs="Arial" w:eastAsia="Arial" w:hAnsi="Arial"/>
          <w:sz w:val="15"/>
          <w:szCs w:val="15"/>
          <w:i w:val="1"/>
          <w:iCs w:val="1"/>
          <w:color w:val="auto"/>
        </w:rPr>
        <w:t>Employment Agreements with Named Executive Officers</w:t>
      </w:r>
      <w:r>
        <w:rPr>
          <w:rFonts w:ascii="Arial" w:cs="Arial" w:eastAsia="Arial" w:hAnsi="Arial"/>
          <w:sz w:val="15"/>
          <w:szCs w:val="15"/>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5E7C"/>
        </w:rPr>
        <w:t>Risk Assessment Regarding Company Compensation Program</w:t>
      </w:r>
    </w:p>
    <w:p>
      <w:pPr>
        <w:spacing w:after="0" w:line="17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Compensation Committee is committed to ensuring that none of Middleby’s compensation policies and practices—particularly the performance-based compensation—pose excessive risks. The Compensation Committee, together with the Chairperson of the Audit Committee and executive management, has considered the risks arising from the Company’s compensation policies and practices and concluded that those policies and practices are not reasonably likely to have a material adverse effect on the Company. In particular, the Compensation Committee determined that Middleby’s executive compensation program includes several “risk mitigating” elements, such as a Clawback Policy, stock ownership requirements for our NEOs and other senior executives, substantial time-based components in the total compensation mix, the use of multiple performance metrics in our incentive plans, and limitations on the payouts that can be earned through the incentive plans.</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00304D"/>
        </w:rPr>
        <w:t>Equity Grant Practices</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Although we do not have a formal policy regarding the timing of equity award grants, we generally grant annual equity awards to our Named Executive Officers on a pre-established date and we do not grant any form of equity compensation in anticipation of the release of material, non-public information. Similarly, we do not time the release of material, non-public information based on equity award grant dates for the purpose of affecting the value of any equity award. The Compensation Committee also does not take material, non-public information into account when determining the timing and terms of equity award grants, provided that, if material, non-public information becomes known to the Compensation Committee prior to granting an equity award, the Compensation Committee takes the existence of such information into consideration and uses its business judgment to determine whether to delay the grant of equity to avoid any impropriety. During fiscal 2025, we did not grant any options to our employees.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00304D"/>
        </w:rPr>
        <w:t>Tax and Accounting Considerations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5E7C"/>
        </w:rPr>
        <w:t>Deductibility of Executive Compensation</w:t>
      </w:r>
    </w:p>
    <w:p>
      <w:pPr>
        <w:spacing w:after="0" w:line="159"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Section 162(m) of the Internal Revenue Code generally imposes a $1 million cap on the federal income tax deduction for compensation paid to our “covered employees” during any fiscal year. While the Compensation Committee considers the deductibility of awards as one factor in determining Named Executive Officer compensation, the Compensation Committee also looks at other factors in making its decisions, and, in the exercise of its business judgment and in accordance with its compensation philosophy, the Compensation Committee retains the flexibility to award compensation even if the compensation is not deductible by us for tax purposes, and to modify compensation that was initially intended to be tax deductible if it determines such modifications are consistent with our business needs.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5E7C"/>
        </w:rPr>
        <w:t>Accounting for Stock-Based Compensation</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Compensation Committee takes accounting considerations into account in designing compensation plans and arrangements for our Named Executive Officers and other employees. We follow FASB ASC Topic 718 for our stock-based compensation awards. FASB ASC Topic 718 requires us to measure the compensation expense for all share-based payment awards based on the grant date “fair value” of these awards.</w:t>
      </w:r>
    </w:p>
    <w:p>
      <w:pPr>
        <w:spacing w:after="0" w:line="13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5"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Report of the Compensation Committee of the Board of Directors</w:t>
      </w:r>
    </w:p>
    <w:p>
      <w:pPr>
        <w:spacing w:after="0" w:line="19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Compensation Committee, consisting entirely of independent directors, reviewed and discussed the above Compensation Discussion and Analysis with the Company’s management. Based on this review and discussion, the Compensation Committee has recommended to the Company’s Board that the CD&amp;A be included in these proxy materials and in Middleby’s Annual Report on Form 10-K for the year ended January 3, 2026.</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The Compensation Committee:</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Stephen R. Scherger, Chairman,</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Edward P. Garden and Gordon J. O’Brien</w:t>
      </w:r>
    </w:p>
    <w:p>
      <w:pPr>
        <w:spacing w:after="0" w:line="16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0" w:lineRule="exact"/>
        <w:rPr>
          <w:sz w:val="20"/>
          <w:szCs w:val="20"/>
          <w:color w:val="auto"/>
        </w:rPr>
      </w:pPr>
    </w:p>
    <w:p>
      <w:pPr>
        <w:spacing w:after="0"/>
        <w:rPr>
          <w:sz w:val="20"/>
          <w:szCs w:val="20"/>
          <w:color w:val="auto"/>
        </w:rPr>
      </w:pPr>
      <w:r>
        <w:rPr>
          <w:rFonts w:ascii="Arial" w:cs="Arial" w:eastAsia="Arial" w:hAnsi="Arial"/>
          <w:sz w:val="34"/>
          <w:szCs w:val="34"/>
          <w:b w:val="1"/>
          <w:bCs w:val="1"/>
          <w:color w:val="00304D"/>
        </w:rPr>
        <w:t>Executive Compensation Tables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Summary Compensation Table for Fiscal Year 2025</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following table sets forth information concerning the annual and long-term compensation for services to the Company in all capacities received by the following individuals, who are collectively referred to as the Company’s “Named Executive Officers” for fiscal year 2025: the Chief Executive Officer, the Chief Financial Officer, and the three other most highly compensated executive officers. The table covers compensation for fiscal years 2023, 2024 and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00304D"/>
              </w:rPr>
              <w:t>Stock</w:t>
            </w:r>
          </w:p>
        </w:tc>
        <w:tc>
          <w:tcPr>
            <w:tcW w:w="920" w:type="dxa"/>
            <w:vAlign w:val="bottom"/>
          </w:tcPr>
          <w:p>
            <w:pPr>
              <w:spacing w:after="0"/>
              <w:rPr>
                <w:sz w:val="15"/>
                <w:szCs w:val="15"/>
                <w:color w:val="auto"/>
              </w:rPr>
            </w:pPr>
          </w:p>
        </w:tc>
        <w:tc>
          <w:tcPr>
            <w:tcW w:w="1360" w:type="dxa"/>
            <w:vAlign w:val="bottom"/>
          </w:tcPr>
          <w:p>
            <w:pPr>
              <w:jc w:val="right"/>
              <w:ind w:right="84"/>
              <w:spacing w:after="0"/>
              <w:rPr>
                <w:sz w:val="20"/>
                <w:szCs w:val="20"/>
                <w:color w:val="auto"/>
              </w:rPr>
            </w:pPr>
            <w:r>
              <w:rPr>
                <w:rFonts w:ascii="Arial" w:cs="Arial" w:eastAsia="Arial" w:hAnsi="Arial"/>
                <w:sz w:val="15"/>
                <w:szCs w:val="15"/>
                <w:b w:val="1"/>
                <w:bCs w:val="1"/>
                <w:color w:val="00304D"/>
              </w:rPr>
              <w:t>Non-Equity</w:t>
            </w:r>
          </w:p>
        </w:tc>
        <w:tc>
          <w:tcPr>
            <w:tcW w:w="1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20" w:type="dxa"/>
            <w:vAlign w:val="bottom"/>
          </w:tcPr>
          <w:p>
            <w:pPr>
              <w:jc w:val="right"/>
              <w:ind w:right="84"/>
              <w:spacing w:after="0" w:line="151" w:lineRule="exact"/>
              <w:rPr>
                <w:sz w:val="20"/>
                <w:szCs w:val="20"/>
                <w:color w:val="auto"/>
              </w:rPr>
            </w:pPr>
            <w:r>
              <w:rPr>
                <w:rFonts w:ascii="Arial" w:cs="Arial" w:eastAsia="Arial" w:hAnsi="Arial"/>
                <w:sz w:val="15"/>
                <w:szCs w:val="15"/>
                <w:b w:val="1"/>
                <w:bCs w:val="1"/>
                <w:color w:val="00304D"/>
              </w:rPr>
              <w:t>Option</w:t>
            </w:r>
          </w:p>
        </w:tc>
        <w:tc>
          <w:tcPr>
            <w:tcW w:w="1360" w:type="dxa"/>
            <w:vAlign w:val="bottom"/>
          </w:tcPr>
          <w:p>
            <w:pPr>
              <w:jc w:val="right"/>
              <w:ind w:right="84"/>
              <w:spacing w:after="0" w:line="151" w:lineRule="exact"/>
              <w:rPr>
                <w:sz w:val="20"/>
                <w:szCs w:val="20"/>
                <w:color w:val="auto"/>
              </w:rPr>
            </w:pPr>
            <w:r>
              <w:rPr>
                <w:rFonts w:ascii="Arial" w:cs="Arial" w:eastAsia="Arial" w:hAnsi="Arial"/>
                <w:sz w:val="15"/>
                <w:szCs w:val="15"/>
                <w:b w:val="1"/>
                <w:bCs w:val="1"/>
                <w:color w:val="00304D"/>
              </w:rPr>
              <w:t>Incentive Plan</w:t>
            </w:r>
          </w:p>
        </w:tc>
        <w:tc>
          <w:tcPr>
            <w:tcW w:w="1540" w:type="dxa"/>
            <w:vAlign w:val="bottom"/>
          </w:tcPr>
          <w:p>
            <w:pPr>
              <w:jc w:val="right"/>
              <w:ind w:right="268"/>
              <w:spacing w:after="0" w:line="151" w:lineRule="exact"/>
              <w:rPr>
                <w:sz w:val="20"/>
                <w:szCs w:val="20"/>
                <w:color w:val="auto"/>
              </w:rPr>
            </w:pPr>
            <w:r>
              <w:rPr>
                <w:rFonts w:ascii="Arial" w:cs="Arial" w:eastAsia="Arial" w:hAnsi="Arial"/>
                <w:sz w:val="15"/>
                <w:szCs w:val="15"/>
                <w:b w:val="1"/>
                <w:bCs w:val="1"/>
                <w:color w:val="00304D"/>
              </w:rPr>
              <w:t>All Other</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080" w:type="dxa"/>
            <w:vAlign w:val="bottom"/>
          </w:tcPr>
          <w:p>
            <w:pPr>
              <w:ind w:left="60"/>
              <w:spacing w:after="0"/>
              <w:rPr>
                <w:sz w:val="20"/>
                <w:szCs w:val="20"/>
                <w:color w:val="auto"/>
              </w:rPr>
            </w:pPr>
            <w:r>
              <w:rPr>
                <w:rFonts w:ascii="Arial" w:cs="Arial" w:eastAsia="Arial" w:hAnsi="Arial"/>
                <w:sz w:val="15"/>
                <w:szCs w:val="15"/>
                <w:b w:val="1"/>
                <w:bCs w:val="1"/>
                <w:color w:val="00304D"/>
              </w:rPr>
              <w:t>Name and</w:t>
            </w:r>
          </w:p>
        </w:tc>
        <w:tc>
          <w:tcPr>
            <w:tcW w:w="700" w:type="dxa"/>
            <w:vAlign w:val="bottom"/>
          </w:tcPr>
          <w:p>
            <w:pPr>
              <w:jc w:val="right"/>
              <w:ind w:right="84"/>
              <w:spacing w:after="0"/>
              <w:rPr>
                <w:sz w:val="20"/>
                <w:szCs w:val="20"/>
                <w:color w:val="auto"/>
              </w:rPr>
            </w:pPr>
            <w:r>
              <w:rPr>
                <w:rFonts w:ascii="Arial" w:cs="Arial" w:eastAsia="Arial" w:hAnsi="Arial"/>
                <w:sz w:val="15"/>
                <w:szCs w:val="15"/>
                <w:b w:val="1"/>
                <w:bCs w:val="1"/>
                <w:color w:val="00304D"/>
              </w:rPr>
              <w:t>Fiscal</w:t>
            </w:r>
          </w:p>
        </w:tc>
        <w:tc>
          <w:tcPr>
            <w:tcW w:w="900" w:type="dxa"/>
            <w:vAlign w:val="bottom"/>
          </w:tcPr>
          <w:p>
            <w:pPr>
              <w:jc w:val="right"/>
              <w:ind w:right="124"/>
              <w:spacing w:after="0"/>
              <w:rPr>
                <w:sz w:val="20"/>
                <w:szCs w:val="20"/>
                <w:color w:val="auto"/>
              </w:rPr>
            </w:pPr>
            <w:r>
              <w:rPr>
                <w:rFonts w:ascii="Arial" w:cs="Arial" w:eastAsia="Arial" w:hAnsi="Arial"/>
                <w:sz w:val="15"/>
                <w:szCs w:val="15"/>
                <w:b w:val="1"/>
                <w:bCs w:val="1"/>
                <w:color w:val="00304D"/>
              </w:rPr>
              <w:t>Salary</w:t>
            </w:r>
          </w:p>
        </w:tc>
        <w:tc>
          <w:tcPr>
            <w:tcW w:w="820" w:type="dxa"/>
            <w:vAlign w:val="bottom"/>
          </w:tcPr>
          <w:p>
            <w:pPr>
              <w:jc w:val="right"/>
              <w:ind w:right="84"/>
              <w:spacing w:after="0"/>
              <w:rPr>
                <w:sz w:val="20"/>
                <w:szCs w:val="20"/>
                <w:color w:val="auto"/>
              </w:rPr>
            </w:pPr>
            <w:r>
              <w:rPr>
                <w:rFonts w:ascii="Arial" w:cs="Arial" w:eastAsia="Arial" w:hAnsi="Arial"/>
                <w:sz w:val="15"/>
                <w:szCs w:val="15"/>
                <w:b w:val="1"/>
                <w:bCs w:val="1"/>
                <w:color w:val="00304D"/>
              </w:rPr>
              <w:t>Bonus</w:t>
            </w:r>
          </w:p>
        </w:tc>
        <w:tc>
          <w:tcPr>
            <w:tcW w:w="1040" w:type="dxa"/>
            <w:vAlign w:val="bottom"/>
          </w:tcPr>
          <w:p>
            <w:pPr>
              <w:jc w:val="right"/>
              <w:ind w:right="144"/>
              <w:spacing w:after="0"/>
              <w:rPr>
                <w:sz w:val="20"/>
                <w:szCs w:val="20"/>
                <w:color w:val="auto"/>
              </w:rPr>
            </w:pPr>
            <w:r>
              <w:rPr>
                <w:rFonts w:ascii="Arial" w:cs="Arial" w:eastAsia="Arial" w:hAnsi="Arial"/>
                <w:sz w:val="15"/>
                <w:szCs w:val="15"/>
                <w:b w:val="1"/>
                <w:bCs w:val="1"/>
                <w:color w:val="00304D"/>
              </w:rPr>
              <w:t>Awards</w:t>
            </w:r>
          </w:p>
        </w:tc>
        <w:tc>
          <w:tcPr>
            <w:tcW w:w="920" w:type="dxa"/>
            <w:vAlign w:val="bottom"/>
          </w:tcPr>
          <w:p>
            <w:pPr>
              <w:jc w:val="right"/>
              <w:ind w:right="84"/>
              <w:spacing w:after="0"/>
              <w:rPr>
                <w:sz w:val="20"/>
                <w:szCs w:val="20"/>
                <w:color w:val="auto"/>
              </w:rPr>
            </w:pPr>
            <w:r>
              <w:rPr>
                <w:rFonts w:ascii="Arial" w:cs="Arial" w:eastAsia="Arial" w:hAnsi="Arial"/>
                <w:sz w:val="15"/>
                <w:szCs w:val="15"/>
                <w:b w:val="1"/>
                <w:bCs w:val="1"/>
                <w:color w:val="00304D"/>
              </w:rPr>
              <w:t>Awards</w:t>
            </w:r>
          </w:p>
        </w:tc>
        <w:tc>
          <w:tcPr>
            <w:tcW w:w="1360" w:type="dxa"/>
            <w:vAlign w:val="bottom"/>
          </w:tcPr>
          <w:p>
            <w:pPr>
              <w:jc w:val="right"/>
              <w:ind w:right="84"/>
              <w:spacing w:after="0"/>
              <w:rPr>
                <w:sz w:val="20"/>
                <w:szCs w:val="20"/>
                <w:color w:val="auto"/>
              </w:rPr>
            </w:pPr>
            <w:r>
              <w:rPr>
                <w:rFonts w:ascii="Arial" w:cs="Arial" w:eastAsia="Arial" w:hAnsi="Arial"/>
                <w:sz w:val="15"/>
                <w:szCs w:val="15"/>
                <w:b w:val="1"/>
                <w:bCs w:val="1"/>
                <w:color w:val="00304D"/>
              </w:rPr>
              <w:t>Compensation</w:t>
            </w:r>
          </w:p>
        </w:tc>
        <w:tc>
          <w:tcPr>
            <w:tcW w:w="1540" w:type="dxa"/>
            <w:vAlign w:val="bottom"/>
          </w:tcPr>
          <w:p>
            <w:pPr>
              <w:jc w:val="right"/>
              <w:ind w:right="268"/>
              <w:spacing w:after="0"/>
              <w:rPr>
                <w:sz w:val="20"/>
                <w:szCs w:val="20"/>
                <w:color w:val="auto"/>
              </w:rPr>
            </w:pPr>
            <w:r>
              <w:rPr>
                <w:rFonts w:ascii="Arial" w:cs="Arial" w:eastAsia="Arial" w:hAnsi="Arial"/>
                <w:sz w:val="15"/>
                <w:szCs w:val="15"/>
                <w:b w:val="1"/>
                <w:bCs w:val="1"/>
                <w:color w:val="00304D"/>
              </w:rPr>
              <w:t>Compensation</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00304D"/>
              </w:rPr>
              <w:t>Total</w:t>
            </w:r>
          </w:p>
        </w:tc>
        <w:tc>
          <w:tcPr>
            <w:tcW w:w="0" w:type="dxa"/>
            <w:vAlign w:val="bottom"/>
          </w:tcPr>
          <w:p>
            <w:pPr>
              <w:spacing w:after="0"/>
              <w:rPr>
                <w:sz w:val="1"/>
                <w:szCs w:val="1"/>
                <w:color w:val="auto"/>
              </w:rPr>
            </w:pPr>
          </w:p>
        </w:tc>
      </w:tr>
      <w:tr>
        <w:trPr>
          <w:trHeight w:val="215"/>
        </w:trPr>
        <w:tc>
          <w:tcPr>
            <w:tcW w:w="308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00304D"/>
              </w:rPr>
              <w:t>Principal Position</w:t>
            </w:r>
          </w:p>
        </w:tc>
        <w:tc>
          <w:tcPr>
            <w:tcW w:w="700" w:type="dxa"/>
            <w:vAlign w:val="bottom"/>
            <w:tcBorders>
              <w:bottom w:val="single" w:sz="8" w:color="002F4D"/>
            </w:tcBorders>
          </w:tcPr>
          <w:p>
            <w:pPr>
              <w:jc w:val="right"/>
              <w:ind w:right="84"/>
              <w:spacing w:after="0"/>
              <w:rPr>
                <w:sz w:val="20"/>
                <w:szCs w:val="20"/>
                <w:color w:val="auto"/>
              </w:rPr>
            </w:pPr>
            <w:r>
              <w:rPr>
                <w:rFonts w:ascii="Arial" w:cs="Arial" w:eastAsia="Arial" w:hAnsi="Arial"/>
                <w:sz w:val="15"/>
                <w:szCs w:val="15"/>
                <w:b w:val="1"/>
                <w:bCs w:val="1"/>
                <w:color w:val="00304D"/>
              </w:rPr>
              <w:t>Year</w:t>
            </w:r>
          </w:p>
        </w:tc>
        <w:tc>
          <w:tcPr>
            <w:tcW w:w="900" w:type="dxa"/>
            <w:vAlign w:val="bottom"/>
            <w:tcBorders>
              <w:bottom w:val="single" w:sz="8" w:color="002F4D"/>
            </w:tcBorders>
          </w:tcPr>
          <w:p>
            <w:pPr>
              <w:jc w:val="right"/>
              <w:ind w:right="124"/>
              <w:spacing w:after="0"/>
              <w:rPr>
                <w:sz w:val="20"/>
                <w:szCs w:val="20"/>
                <w:color w:val="auto"/>
              </w:rPr>
            </w:pPr>
            <w:r>
              <w:rPr>
                <w:rFonts w:ascii="Arial" w:cs="Arial" w:eastAsia="Arial" w:hAnsi="Arial"/>
                <w:sz w:val="15"/>
                <w:szCs w:val="15"/>
                <w:b w:val="1"/>
                <w:bCs w:val="1"/>
                <w:color w:val="00304D"/>
              </w:rPr>
              <w:t>($)</w:t>
            </w:r>
          </w:p>
        </w:tc>
        <w:tc>
          <w:tcPr>
            <w:tcW w:w="820" w:type="dxa"/>
            <w:vAlign w:val="bottom"/>
            <w:tcBorders>
              <w:bottom w:val="single" w:sz="8" w:color="002F4D"/>
            </w:tcBorders>
          </w:tcPr>
          <w:p>
            <w:pPr>
              <w:jc w:val="right"/>
              <w:ind w:right="84"/>
              <w:spacing w:after="0"/>
              <w:rPr>
                <w:sz w:val="20"/>
                <w:szCs w:val="20"/>
                <w:color w:val="auto"/>
              </w:rPr>
            </w:pPr>
            <w:r>
              <w:rPr>
                <w:rFonts w:ascii="Arial" w:cs="Arial" w:eastAsia="Arial" w:hAnsi="Arial"/>
                <w:sz w:val="15"/>
                <w:szCs w:val="15"/>
                <w:b w:val="1"/>
                <w:bCs w:val="1"/>
                <w:color w:val="00304D"/>
              </w:rPr>
              <w:t>($)</w:t>
            </w:r>
          </w:p>
        </w:tc>
        <w:tc>
          <w:tcPr>
            <w:tcW w:w="1040" w:type="dxa"/>
            <w:vAlign w:val="bottom"/>
            <w:tcBorders>
              <w:bottom w:val="single" w:sz="8" w:color="002F4D"/>
            </w:tcBorders>
          </w:tcPr>
          <w:p>
            <w:pPr>
              <w:jc w:val="right"/>
              <w:ind w:right="144"/>
              <w:spacing w:after="0" w:line="214" w:lineRule="exact"/>
              <w:rPr>
                <w:sz w:val="20"/>
                <w:szCs w:val="20"/>
                <w:color w:val="auto"/>
              </w:rPr>
            </w:pPr>
            <w:r>
              <w:rPr>
                <w:rFonts w:ascii="Arial" w:cs="Arial" w:eastAsia="Arial" w:hAnsi="Arial"/>
                <w:sz w:val="15"/>
                <w:szCs w:val="15"/>
                <w:b w:val="1"/>
                <w:bCs w:val="1"/>
                <w:color w:val="00304D"/>
              </w:rPr>
              <w:t>($)</w:t>
            </w:r>
            <w:r>
              <w:rPr>
                <w:rFonts w:ascii="Arial" w:cs="Arial" w:eastAsia="Arial" w:hAnsi="Arial"/>
                <w:sz w:val="24"/>
                <w:szCs w:val="24"/>
                <w:b w:val="1"/>
                <w:bCs w:val="1"/>
                <w:color w:val="00304D"/>
                <w:vertAlign w:val="superscript"/>
              </w:rPr>
              <w:t>(1)</w:t>
            </w:r>
          </w:p>
        </w:tc>
        <w:tc>
          <w:tcPr>
            <w:tcW w:w="920" w:type="dxa"/>
            <w:vAlign w:val="bottom"/>
            <w:tcBorders>
              <w:bottom w:val="single" w:sz="8" w:color="002F4D"/>
            </w:tcBorders>
          </w:tcPr>
          <w:p>
            <w:pPr>
              <w:jc w:val="right"/>
              <w:ind w:right="84"/>
              <w:spacing w:after="0"/>
              <w:rPr>
                <w:sz w:val="20"/>
                <w:szCs w:val="20"/>
                <w:color w:val="auto"/>
              </w:rPr>
            </w:pPr>
            <w:r>
              <w:rPr>
                <w:rFonts w:ascii="Arial" w:cs="Arial" w:eastAsia="Arial" w:hAnsi="Arial"/>
                <w:sz w:val="15"/>
                <w:szCs w:val="15"/>
                <w:b w:val="1"/>
                <w:bCs w:val="1"/>
                <w:color w:val="00304D"/>
              </w:rPr>
              <w:t>($)</w:t>
            </w:r>
          </w:p>
        </w:tc>
        <w:tc>
          <w:tcPr>
            <w:tcW w:w="1360" w:type="dxa"/>
            <w:vAlign w:val="bottom"/>
            <w:tcBorders>
              <w:bottom w:val="single" w:sz="8" w:color="002F4D"/>
            </w:tcBorders>
          </w:tcPr>
          <w:p>
            <w:pPr>
              <w:jc w:val="right"/>
              <w:ind w:right="84"/>
              <w:spacing w:after="0"/>
              <w:rPr>
                <w:sz w:val="20"/>
                <w:szCs w:val="20"/>
                <w:color w:val="auto"/>
              </w:rPr>
            </w:pPr>
            <w:r>
              <w:rPr>
                <w:rFonts w:ascii="Arial" w:cs="Arial" w:eastAsia="Arial" w:hAnsi="Arial"/>
                <w:sz w:val="15"/>
                <w:szCs w:val="15"/>
                <w:b w:val="1"/>
                <w:bCs w:val="1"/>
                <w:color w:val="00304D"/>
              </w:rPr>
              <w:t>($)</w:t>
            </w:r>
          </w:p>
        </w:tc>
        <w:tc>
          <w:tcPr>
            <w:tcW w:w="1540" w:type="dxa"/>
            <w:vAlign w:val="bottom"/>
            <w:tcBorders>
              <w:bottom w:val="single" w:sz="8" w:color="002F4D"/>
            </w:tcBorders>
          </w:tcPr>
          <w:p>
            <w:pPr>
              <w:jc w:val="right"/>
              <w:ind w:right="268"/>
              <w:spacing w:after="0"/>
              <w:rPr>
                <w:sz w:val="20"/>
                <w:szCs w:val="20"/>
                <w:color w:val="auto"/>
              </w:rPr>
            </w:pPr>
            <w:r>
              <w:rPr>
                <w:rFonts w:ascii="Arial" w:cs="Arial" w:eastAsia="Arial" w:hAnsi="Arial"/>
                <w:sz w:val="15"/>
                <w:szCs w:val="15"/>
                <w:b w:val="1"/>
                <w:bCs w:val="1"/>
                <w:color w:val="00304D"/>
              </w:rPr>
              <w:t>($)</w:t>
            </w:r>
          </w:p>
        </w:tc>
        <w:tc>
          <w:tcPr>
            <w:tcW w:w="880" w:type="dxa"/>
            <w:vAlign w:val="bottom"/>
            <w:tcBorders>
              <w:bottom w:val="single" w:sz="8" w:color="002F4D"/>
            </w:tcBorders>
          </w:tcPr>
          <w:p>
            <w:pPr>
              <w:jc w:val="right"/>
              <w:spacing w:after="0"/>
              <w:rPr>
                <w:sz w:val="20"/>
                <w:szCs w:val="20"/>
                <w:color w:val="auto"/>
              </w:rPr>
            </w:pPr>
            <w:r>
              <w:rPr>
                <w:rFonts w:ascii="Arial" w:cs="Arial" w:eastAsia="Arial" w:hAnsi="Arial"/>
                <w:sz w:val="15"/>
                <w:szCs w:val="15"/>
                <w:b w:val="1"/>
                <w:bCs w:val="1"/>
                <w:color w:val="00304D"/>
              </w:rPr>
              <w:t>($)</w:t>
            </w:r>
          </w:p>
        </w:tc>
        <w:tc>
          <w:tcPr>
            <w:tcW w:w="0" w:type="dxa"/>
            <w:vAlign w:val="bottom"/>
          </w:tcPr>
          <w:p>
            <w:pPr>
              <w:spacing w:after="0"/>
              <w:rPr>
                <w:sz w:val="1"/>
                <w:szCs w:val="1"/>
                <w:color w:val="auto"/>
              </w:rPr>
            </w:pPr>
          </w:p>
        </w:tc>
      </w:tr>
      <w:tr>
        <w:trPr>
          <w:trHeight w:val="207"/>
        </w:trPr>
        <w:tc>
          <w:tcPr>
            <w:tcW w:w="3080" w:type="dxa"/>
            <w:vAlign w:val="bottom"/>
          </w:tcPr>
          <w:p>
            <w:pPr>
              <w:ind w:left="60"/>
              <w:spacing w:after="0" w:line="169" w:lineRule="exact"/>
              <w:rPr>
                <w:sz w:val="20"/>
                <w:szCs w:val="20"/>
                <w:color w:val="auto"/>
              </w:rPr>
            </w:pPr>
            <w:r>
              <w:rPr>
                <w:rFonts w:ascii="Arial" w:cs="Arial" w:eastAsia="Arial" w:hAnsi="Arial"/>
                <w:sz w:val="15"/>
                <w:szCs w:val="15"/>
                <w:b w:val="1"/>
                <w:bCs w:val="1"/>
                <w:color w:val="auto"/>
              </w:rPr>
              <w:t>Timothy J. FitzGerald</w:t>
            </w:r>
          </w:p>
        </w:tc>
        <w:tc>
          <w:tcPr>
            <w:tcW w:w="700" w:type="dxa"/>
            <w:vAlign w:val="bottom"/>
          </w:tcPr>
          <w:p>
            <w:pPr>
              <w:jc w:val="right"/>
              <w:ind w:right="84"/>
              <w:spacing w:after="0" w:line="169" w:lineRule="exact"/>
              <w:rPr>
                <w:sz w:val="20"/>
                <w:szCs w:val="20"/>
                <w:color w:val="auto"/>
              </w:rPr>
            </w:pPr>
            <w:r>
              <w:rPr>
                <w:rFonts w:ascii="Arial" w:cs="Arial" w:eastAsia="Arial" w:hAnsi="Arial"/>
                <w:sz w:val="15"/>
                <w:szCs w:val="15"/>
                <w:color w:val="auto"/>
              </w:rPr>
              <w:t>2025</w:t>
            </w:r>
          </w:p>
        </w:tc>
        <w:tc>
          <w:tcPr>
            <w:tcW w:w="900" w:type="dxa"/>
            <w:vAlign w:val="bottom"/>
          </w:tcPr>
          <w:p>
            <w:pPr>
              <w:jc w:val="right"/>
              <w:ind w:right="124"/>
              <w:spacing w:after="0" w:line="169" w:lineRule="exact"/>
              <w:rPr>
                <w:sz w:val="20"/>
                <w:szCs w:val="20"/>
                <w:color w:val="auto"/>
              </w:rPr>
            </w:pPr>
            <w:r>
              <w:rPr>
                <w:rFonts w:ascii="Arial" w:cs="Arial" w:eastAsia="Arial" w:hAnsi="Arial"/>
                <w:sz w:val="15"/>
                <w:szCs w:val="15"/>
                <w:color w:val="auto"/>
              </w:rPr>
              <w:t>975,000</w:t>
            </w:r>
          </w:p>
        </w:tc>
        <w:tc>
          <w:tcPr>
            <w:tcW w:w="820" w:type="dxa"/>
            <w:vAlign w:val="bottom"/>
          </w:tcPr>
          <w:p>
            <w:pPr>
              <w:spacing w:after="0"/>
              <w:rPr>
                <w:sz w:val="18"/>
                <w:szCs w:val="18"/>
                <w:color w:val="auto"/>
              </w:rPr>
            </w:pPr>
          </w:p>
        </w:tc>
        <w:tc>
          <w:tcPr>
            <w:tcW w:w="1040" w:type="dxa"/>
            <w:vAlign w:val="bottom"/>
          </w:tcPr>
          <w:p>
            <w:pPr>
              <w:jc w:val="right"/>
              <w:ind w:right="144"/>
              <w:spacing w:after="0" w:line="169" w:lineRule="exact"/>
              <w:rPr>
                <w:sz w:val="20"/>
                <w:szCs w:val="20"/>
                <w:color w:val="auto"/>
              </w:rPr>
            </w:pPr>
            <w:r>
              <w:rPr>
                <w:rFonts w:ascii="Arial" w:cs="Arial" w:eastAsia="Arial" w:hAnsi="Arial"/>
                <w:sz w:val="15"/>
                <w:szCs w:val="15"/>
                <w:color w:val="auto"/>
              </w:rPr>
              <w:t>7,220,604</w:t>
            </w:r>
          </w:p>
        </w:tc>
        <w:tc>
          <w:tcPr>
            <w:tcW w:w="920" w:type="dxa"/>
            <w:vAlign w:val="bottom"/>
          </w:tcPr>
          <w:p>
            <w:pPr>
              <w:spacing w:after="0"/>
              <w:rPr>
                <w:sz w:val="18"/>
                <w:szCs w:val="18"/>
                <w:color w:val="auto"/>
              </w:rPr>
            </w:pPr>
          </w:p>
        </w:tc>
        <w:tc>
          <w:tcPr>
            <w:tcW w:w="1360" w:type="dxa"/>
            <w:vAlign w:val="bottom"/>
          </w:tcPr>
          <w:p>
            <w:pPr>
              <w:jc w:val="right"/>
              <w:ind w:right="84"/>
              <w:spacing w:after="0" w:line="169" w:lineRule="exact"/>
              <w:rPr>
                <w:sz w:val="20"/>
                <w:szCs w:val="20"/>
                <w:color w:val="auto"/>
              </w:rPr>
            </w:pPr>
            <w:r>
              <w:rPr>
                <w:rFonts w:ascii="Arial" w:cs="Arial" w:eastAsia="Arial" w:hAnsi="Arial"/>
                <w:sz w:val="15"/>
                <w:szCs w:val="15"/>
                <w:color w:val="auto"/>
              </w:rPr>
              <w:t>0</w:t>
            </w:r>
          </w:p>
        </w:tc>
        <w:tc>
          <w:tcPr>
            <w:tcW w:w="1540" w:type="dxa"/>
            <w:vAlign w:val="bottom"/>
          </w:tcPr>
          <w:p>
            <w:pPr>
              <w:jc w:val="right"/>
              <w:ind w:right="108"/>
              <w:spacing w:after="0" w:line="170" w:lineRule="exact"/>
              <w:rPr>
                <w:sz w:val="20"/>
                <w:szCs w:val="20"/>
                <w:color w:val="auto"/>
              </w:rPr>
            </w:pPr>
            <w:r>
              <w:rPr>
                <w:rFonts w:ascii="Arial" w:cs="Arial" w:eastAsia="Arial" w:hAnsi="Arial"/>
                <w:sz w:val="12"/>
                <w:szCs w:val="12"/>
                <w:color w:val="auto"/>
              </w:rPr>
              <w:t>12,245</w:t>
            </w:r>
            <w:r>
              <w:rPr>
                <w:rFonts w:ascii="Arial" w:cs="Arial" w:eastAsia="Arial" w:hAnsi="Arial"/>
                <w:sz w:val="19"/>
                <w:szCs w:val="19"/>
                <w:color w:val="auto"/>
                <w:vertAlign w:val="superscript"/>
              </w:rPr>
              <w:t>(2)</w:t>
            </w:r>
          </w:p>
        </w:tc>
        <w:tc>
          <w:tcPr>
            <w:tcW w:w="880" w:type="dxa"/>
            <w:vAlign w:val="bottom"/>
            <w:tcBorders>
              <w:bottom w:val="single" w:sz="8" w:color="E5ECF1"/>
            </w:tcBorders>
            <w:shd w:val="clear" w:color="auto" w:fill="E5ECF1"/>
          </w:tcPr>
          <w:p>
            <w:pPr>
              <w:jc w:val="right"/>
              <w:spacing w:after="0" w:line="169" w:lineRule="exact"/>
              <w:rPr>
                <w:sz w:val="20"/>
                <w:szCs w:val="20"/>
                <w:color w:val="auto"/>
              </w:rPr>
            </w:pPr>
            <w:r>
              <w:rPr>
                <w:rFonts w:ascii="Arial" w:cs="Arial" w:eastAsia="Arial" w:hAnsi="Arial"/>
                <w:sz w:val="15"/>
                <w:szCs w:val="15"/>
                <w:color w:val="auto"/>
              </w:rPr>
              <w:t>8,207,849</w:t>
            </w:r>
          </w:p>
        </w:tc>
        <w:tc>
          <w:tcPr>
            <w:tcW w:w="0" w:type="dxa"/>
            <w:vAlign w:val="bottom"/>
          </w:tcPr>
          <w:p>
            <w:pPr>
              <w:spacing w:after="0"/>
              <w:rPr>
                <w:sz w:val="1"/>
                <w:szCs w:val="1"/>
                <w:color w:val="auto"/>
              </w:rPr>
            </w:pPr>
          </w:p>
        </w:tc>
      </w:tr>
      <w:tr>
        <w:trPr>
          <w:trHeight w:val="169"/>
        </w:trPr>
        <w:tc>
          <w:tcPr>
            <w:tcW w:w="3080" w:type="dxa"/>
            <w:vAlign w:val="bottom"/>
          </w:tcPr>
          <w:p>
            <w:pPr>
              <w:ind w:left="60"/>
              <w:spacing w:after="0" w:line="141" w:lineRule="exact"/>
              <w:rPr>
                <w:sz w:val="20"/>
                <w:szCs w:val="20"/>
                <w:color w:val="auto"/>
              </w:rPr>
            </w:pPr>
            <w:r>
              <w:rPr>
                <w:rFonts w:ascii="Arial" w:cs="Arial" w:eastAsia="Arial" w:hAnsi="Arial"/>
                <w:sz w:val="15"/>
                <w:szCs w:val="15"/>
                <w:i w:val="1"/>
                <w:iCs w:val="1"/>
                <w:color w:val="auto"/>
              </w:rPr>
              <w:t>Chief Executive Officer</w:t>
            </w:r>
          </w:p>
        </w:tc>
        <w:tc>
          <w:tcPr>
            <w:tcW w:w="700" w:type="dxa"/>
            <w:vAlign w:val="bottom"/>
            <w:tcBorders>
              <w:top w:val="single" w:sz="8" w:color="002F4D"/>
              <w:bottom w:val="single" w:sz="8" w:color="002F4D"/>
            </w:tcBorders>
          </w:tcPr>
          <w:p>
            <w:pPr>
              <w:jc w:val="right"/>
              <w:ind w:right="84"/>
              <w:spacing w:after="0" w:line="169" w:lineRule="exact"/>
              <w:rPr>
                <w:sz w:val="20"/>
                <w:szCs w:val="20"/>
                <w:color w:val="auto"/>
              </w:rPr>
            </w:pPr>
            <w:r>
              <w:rPr>
                <w:rFonts w:ascii="Arial" w:cs="Arial" w:eastAsia="Arial" w:hAnsi="Arial"/>
                <w:sz w:val="15"/>
                <w:szCs w:val="15"/>
                <w:color w:val="auto"/>
              </w:rPr>
              <w:t>2024</w:t>
            </w:r>
          </w:p>
        </w:tc>
        <w:tc>
          <w:tcPr>
            <w:tcW w:w="900" w:type="dxa"/>
            <w:vAlign w:val="bottom"/>
            <w:tcBorders>
              <w:top w:val="single" w:sz="8" w:color="002F4D"/>
              <w:bottom w:val="single" w:sz="8" w:color="002F4D"/>
            </w:tcBorders>
          </w:tcPr>
          <w:p>
            <w:pPr>
              <w:jc w:val="right"/>
              <w:ind w:right="124"/>
              <w:spacing w:after="0" w:line="169" w:lineRule="exact"/>
              <w:rPr>
                <w:sz w:val="20"/>
                <w:szCs w:val="20"/>
                <w:color w:val="auto"/>
              </w:rPr>
            </w:pPr>
            <w:r>
              <w:rPr>
                <w:rFonts w:ascii="Arial" w:cs="Arial" w:eastAsia="Arial" w:hAnsi="Arial"/>
                <w:sz w:val="15"/>
                <w:szCs w:val="15"/>
                <w:color w:val="auto"/>
              </w:rPr>
              <w:t>975,000</w:t>
            </w:r>
          </w:p>
        </w:tc>
        <w:tc>
          <w:tcPr>
            <w:tcW w:w="820" w:type="dxa"/>
            <w:vAlign w:val="bottom"/>
            <w:tcBorders>
              <w:top w:val="single" w:sz="8" w:color="002F4D"/>
              <w:bottom w:val="single" w:sz="8" w:color="002F4D"/>
            </w:tcBorders>
          </w:tcPr>
          <w:p>
            <w:pPr>
              <w:spacing w:after="0"/>
              <w:rPr>
                <w:sz w:val="14"/>
                <w:szCs w:val="14"/>
                <w:color w:val="auto"/>
              </w:rPr>
            </w:pPr>
          </w:p>
        </w:tc>
        <w:tc>
          <w:tcPr>
            <w:tcW w:w="1040" w:type="dxa"/>
            <w:vAlign w:val="bottom"/>
            <w:tcBorders>
              <w:top w:val="single" w:sz="8" w:color="002F4D"/>
              <w:bottom w:val="single" w:sz="8" w:color="002F4D"/>
            </w:tcBorders>
          </w:tcPr>
          <w:p>
            <w:pPr>
              <w:jc w:val="right"/>
              <w:ind w:right="144"/>
              <w:spacing w:after="0" w:line="169" w:lineRule="exact"/>
              <w:rPr>
                <w:sz w:val="20"/>
                <w:szCs w:val="20"/>
                <w:color w:val="auto"/>
              </w:rPr>
            </w:pPr>
            <w:r>
              <w:rPr>
                <w:rFonts w:ascii="Arial" w:cs="Arial" w:eastAsia="Arial" w:hAnsi="Arial"/>
                <w:sz w:val="15"/>
                <w:szCs w:val="15"/>
                <w:color w:val="auto"/>
              </w:rPr>
              <w:t>6,343,205</w:t>
            </w:r>
          </w:p>
        </w:tc>
        <w:tc>
          <w:tcPr>
            <w:tcW w:w="920" w:type="dxa"/>
            <w:vAlign w:val="bottom"/>
            <w:tcBorders>
              <w:top w:val="single" w:sz="8" w:color="002F4D"/>
              <w:bottom w:val="single" w:sz="8" w:color="002F4D"/>
            </w:tcBorders>
          </w:tcPr>
          <w:p>
            <w:pPr>
              <w:spacing w:after="0"/>
              <w:rPr>
                <w:sz w:val="14"/>
                <w:szCs w:val="14"/>
                <w:color w:val="auto"/>
              </w:rPr>
            </w:pPr>
          </w:p>
        </w:tc>
        <w:tc>
          <w:tcPr>
            <w:tcW w:w="1360" w:type="dxa"/>
            <w:vAlign w:val="bottom"/>
            <w:tcBorders>
              <w:top w:val="single" w:sz="8" w:color="002F4D"/>
              <w:bottom w:val="single" w:sz="8" w:color="002F4D"/>
            </w:tcBorders>
          </w:tcPr>
          <w:p>
            <w:pPr>
              <w:jc w:val="right"/>
              <w:ind w:right="84"/>
              <w:spacing w:after="0" w:line="169" w:lineRule="exact"/>
              <w:rPr>
                <w:sz w:val="20"/>
                <w:szCs w:val="20"/>
                <w:color w:val="auto"/>
              </w:rPr>
            </w:pPr>
            <w:r>
              <w:rPr>
                <w:rFonts w:ascii="Arial" w:cs="Arial" w:eastAsia="Arial" w:hAnsi="Arial"/>
                <w:sz w:val="15"/>
                <w:szCs w:val="15"/>
                <w:color w:val="auto"/>
              </w:rPr>
              <w:t>186,781</w:t>
            </w:r>
          </w:p>
        </w:tc>
        <w:tc>
          <w:tcPr>
            <w:tcW w:w="1540" w:type="dxa"/>
            <w:vAlign w:val="bottom"/>
            <w:tcBorders>
              <w:top w:val="single" w:sz="8" w:color="002F4D"/>
              <w:bottom w:val="single" w:sz="8" w:color="002F4D"/>
            </w:tcBorders>
          </w:tcPr>
          <w:p>
            <w:pPr>
              <w:jc w:val="right"/>
              <w:ind w:right="268"/>
              <w:spacing w:after="0" w:line="169" w:lineRule="exact"/>
              <w:rPr>
                <w:sz w:val="20"/>
                <w:szCs w:val="20"/>
                <w:color w:val="auto"/>
              </w:rPr>
            </w:pPr>
            <w:r>
              <w:rPr>
                <w:rFonts w:ascii="Arial" w:cs="Arial" w:eastAsia="Arial" w:hAnsi="Arial"/>
                <w:sz w:val="15"/>
                <w:szCs w:val="15"/>
                <w:color w:val="auto"/>
              </w:rPr>
              <w:t>20,495</w:t>
            </w:r>
          </w:p>
        </w:tc>
        <w:tc>
          <w:tcPr>
            <w:tcW w:w="880" w:type="dxa"/>
            <w:vAlign w:val="bottom"/>
            <w:tcBorders>
              <w:top w:val="single" w:sz="8" w:color="002F4D"/>
              <w:bottom w:val="single" w:sz="8" w:color="002F4D"/>
            </w:tcBorders>
            <w:shd w:val="clear" w:color="auto" w:fill="E5ECF1"/>
          </w:tcPr>
          <w:p>
            <w:pPr>
              <w:jc w:val="right"/>
              <w:spacing w:after="0" w:line="169" w:lineRule="exact"/>
              <w:rPr>
                <w:sz w:val="20"/>
                <w:szCs w:val="20"/>
                <w:color w:val="auto"/>
              </w:rPr>
            </w:pPr>
            <w:r>
              <w:rPr>
                <w:rFonts w:ascii="Arial" w:cs="Arial" w:eastAsia="Arial" w:hAnsi="Arial"/>
                <w:sz w:val="15"/>
                <w:szCs w:val="15"/>
                <w:color w:val="auto"/>
              </w:rPr>
              <w:t>7,525,481</w:t>
            </w:r>
          </w:p>
        </w:tc>
        <w:tc>
          <w:tcPr>
            <w:tcW w:w="0" w:type="dxa"/>
            <w:vAlign w:val="bottom"/>
          </w:tcPr>
          <w:p>
            <w:pPr>
              <w:spacing w:after="0"/>
              <w:rPr>
                <w:sz w:val="1"/>
                <w:szCs w:val="1"/>
                <w:color w:val="auto"/>
              </w:rPr>
            </w:pPr>
          </w:p>
        </w:tc>
      </w:tr>
      <w:tr>
        <w:trPr>
          <w:trHeight w:val="169"/>
        </w:trPr>
        <w:tc>
          <w:tcPr>
            <w:tcW w:w="3080" w:type="dxa"/>
            <w:vAlign w:val="bottom"/>
            <w:tcBorders>
              <w:bottom w:val="single" w:sz="8" w:color="002F4D"/>
            </w:tcBorders>
          </w:tcPr>
          <w:p>
            <w:pPr>
              <w:spacing w:after="0"/>
              <w:rPr>
                <w:sz w:val="14"/>
                <w:szCs w:val="14"/>
                <w:color w:val="auto"/>
              </w:rPr>
            </w:pPr>
          </w:p>
        </w:tc>
        <w:tc>
          <w:tcPr>
            <w:tcW w:w="700" w:type="dxa"/>
            <w:vAlign w:val="bottom"/>
            <w:tcBorders>
              <w:bottom w:val="single" w:sz="8" w:color="002F4D"/>
            </w:tcBorders>
          </w:tcPr>
          <w:p>
            <w:pPr>
              <w:jc w:val="right"/>
              <w:ind w:right="84"/>
              <w:spacing w:after="0" w:line="169" w:lineRule="exact"/>
              <w:rPr>
                <w:sz w:val="20"/>
                <w:szCs w:val="20"/>
                <w:color w:val="auto"/>
              </w:rPr>
            </w:pPr>
            <w:r>
              <w:rPr>
                <w:rFonts w:ascii="Arial" w:cs="Arial" w:eastAsia="Arial" w:hAnsi="Arial"/>
                <w:sz w:val="15"/>
                <w:szCs w:val="15"/>
                <w:color w:val="auto"/>
              </w:rPr>
              <w:t>2023</w:t>
            </w:r>
          </w:p>
        </w:tc>
        <w:tc>
          <w:tcPr>
            <w:tcW w:w="900" w:type="dxa"/>
            <w:vAlign w:val="bottom"/>
            <w:tcBorders>
              <w:bottom w:val="single" w:sz="8" w:color="002F4D"/>
            </w:tcBorders>
          </w:tcPr>
          <w:p>
            <w:pPr>
              <w:jc w:val="right"/>
              <w:ind w:right="124"/>
              <w:spacing w:after="0" w:line="169" w:lineRule="exact"/>
              <w:rPr>
                <w:sz w:val="20"/>
                <w:szCs w:val="20"/>
                <w:color w:val="auto"/>
              </w:rPr>
            </w:pPr>
            <w:r>
              <w:rPr>
                <w:rFonts w:ascii="Arial" w:cs="Arial" w:eastAsia="Arial" w:hAnsi="Arial"/>
                <w:sz w:val="15"/>
                <w:szCs w:val="15"/>
                <w:color w:val="auto"/>
              </w:rPr>
              <w:t>975,000</w:t>
            </w:r>
          </w:p>
        </w:tc>
        <w:tc>
          <w:tcPr>
            <w:tcW w:w="820" w:type="dxa"/>
            <w:vAlign w:val="bottom"/>
            <w:tcBorders>
              <w:bottom w:val="single" w:sz="8" w:color="002F4D"/>
            </w:tcBorders>
          </w:tcPr>
          <w:p>
            <w:pPr>
              <w:spacing w:after="0"/>
              <w:rPr>
                <w:sz w:val="14"/>
                <w:szCs w:val="14"/>
                <w:color w:val="auto"/>
              </w:rPr>
            </w:pPr>
          </w:p>
        </w:tc>
        <w:tc>
          <w:tcPr>
            <w:tcW w:w="1040" w:type="dxa"/>
            <w:vAlign w:val="bottom"/>
            <w:tcBorders>
              <w:bottom w:val="single" w:sz="8" w:color="002F4D"/>
            </w:tcBorders>
          </w:tcPr>
          <w:p>
            <w:pPr>
              <w:jc w:val="right"/>
              <w:ind w:right="144"/>
              <w:spacing w:after="0" w:line="169" w:lineRule="exact"/>
              <w:rPr>
                <w:sz w:val="20"/>
                <w:szCs w:val="20"/>
                <w:color w:val="auto"/>
              </w:rPr>
            </w:pPr>
            <w:r>
              <w:rPr>
                <w:rFonts w:ascii="Arial" w:cs="Arial" w:eastAsia="Arial" w:hAnsi="Arial"/>
                <w:sz w:val="15"/>
                <w:szCs w:val="15"/>
                <w:color w:val="auto"/>
              </w:rPr>
              <w:t>6,140,784</w:t>
            </w:r>
          </w:p>
        </w:tc>
        <w:tc>
          <w:tcPr>
            <w:tcW w:w="920" w:type="dxa"/>
            <w:vAlign w:val="bottom"/>
            <w:tcBorders>
              <w:bottom w:val="single" w:sz="8" w:color="002F4D"/>
            </w:tcBorders>
          </w:tcPr>
          <w:p>
            <w:pPr>
              <w:spacing w:after="0"/>
              <w:rPr>
                <w:sz w:val="14"/>
                <w:szCs w:val="14"/>
                <w:color w:val="auto"/>
              </w:rPr>
            </w:pPr>
          </w:p>
        </w:tc>
        <w:tc>
          <w:tcPr>
            <w:tcW w:w="1360" w:type="dxa"/>
            <w:vAlign w:val="bottom"/>
            <w:tcBorders>
              <w:bottom w:val="single" w:sz="8" w:color="002F4D"/>
            </w:tcBorders>
          </w:tcPr>
          <w:p>
            <w:pPr>
              <w:jc w:val="right"/>
              <w:ind w:right="84"/>
              <w:spacing w:after="0" w:line="169" w:lineRule="exact"/>
              <w:rPr>
                <w:sz w:val="20"/>
                <w:szCs w:val="20"/>
                <w:color w:val="auto"/>
              </w:rPr>
            </w:pPr>
            <w:r>
              <w:rPr>
                <w:rFonts w:ascii="Arial" w:cs="Arial" w:eastAsia="Arial" w:hAnsi="Arial"/>
                <w:sz w:val="15"/>
                <w:szCs w:val="15"/>
                <w:color w:val="auto"/>
              </w:rPr>
              <w:t>1,300,650</w:t>
            </w:r>
          </w:p>
        </w:tc>
        <w:tc>
          <w:tcPr>
            <w:tcW w:w="1540" w:type="dxa"/>
            <w:vAlign w:val="bottom"/>
            <w:tcBorders>
              <w:bottom w:val="single" w:sz="8" w:color="002F4D"/>
            </w:tcBorders>
          </w:tcPr>
          <w:p>
            <w:pPr>
              <w:jc w:val="right"/>
              <w:ind w:right="268"/>
              <w:spacing w:after="0" w:line="169" w:lineRule="exact"/>
              <w:rPr>
                <w:sz w:val="20"/>
                <w:szCs w:val="20"/>
                <w:color w:val="auto"/>
              </w:rPr>
            </w:pPr>
            <w:r>
              <w:rPr>
                <w:rFonts w:ascii="Arial" w:cs="Arial" w:eastAsia="Arial" w:hAnsi="Arial"/>
                <w:sz w:val="15"/>
                <w:szCs w:val="15"/>
                <w:color w:val="auto"/>
              </w:rPr>
              <w:t>18,445</w:t>
            </w:r>
          </w:p>
        </w:tc>
        <w:tc>
          <w:tcPr>
            <w:tcW w:w="880" w:type="dxa"/>
            <w:vAlign w:val="bottom"/>
            <w:tcBorders>
              <w:bottom w:val="single" w:sz="8" w:color="002F4D"/>
            </w:tcBorders>
            <w:shd w:val="clear" w:color="auto" w:fill="E5ECF1"/>
          </w:tcPr>
          <w:p>
            <w:pPr>
              <w:jc w:val="right"/>
              <w:spacing w:after="0" w:line="169" w:lineRule="exact"/>
              <w:rPr>
                <w:sz w:val="20"/>
                <w:szCs w:val="20"/>
                <w:color w:val="auto"/>
              </w:rPr>
            </w:pPr>
            <w:r>
              <w:rPr>
                <w:rFonts w:ascii="Arial" w:cs="Arial" w:eastAsia="Arial" w:hAnsi="Arial"/>
                <w:sz w:val="15"/>
                <w:szCs w:val="15"/>
                <w:color w:val="auto"/>
              </w:rPr>
              <w:t>8,434,879</w:t>
            </w:r>
          </w:p>
        </w:tc>
        <w:tc>
          <w:tcPr>
            <w:tcW w:w="0" w:type="dxa"/>
            <w:vAlign w:val="bottom"/>
          </w:tcPr>
          <w:p>
            <w:pPr>
              <w:spacing w:after="0"/>
              <w:rPr>
                <w:sz w:val="1"/>
                <w:szCs w:val="1"/>
                <w:color w:val="auto"/>
              </w:rPr>
            </w:pPr>
          </w:p>
        </w:tc>
      </w:tr>
      <w:tr>
        <w:trPr>
          <w:trHeight w:val="207"/>
        </w:trPr>
        <w:tc>
          <w:tcPr>
            <w:tcW w:w="3080" w:type="dxa"/>
            <w:vAlign w:val="bottom"/>
          </w:tcPr>
          <w:p>
            <w:pPr>
              <w:ind w:left="60"/>
              <w:spacing w:after="0" w:line="169" w:lineRule="exact"/>
              <w:rPr>
                <w:sz w:val="20"/>
                <w:szCs w:val="20"/>
                <w:color w:val="auto"/>
              </w:rPr>
            </w:pPr>
            <w:r>
              <w:rPr>
                <w:rFonts w:ascii="Arial" w:cs="Arial" w:eastAsia="Arial" w:hAnsi="Arial"/>
                <w:sz w:val="15"/>
                <w:szCs w:val="15"/>
                <w:b w:val="1"/>
                <w:bCs w:val="1"/>
                <w:color w:val="auto"/>
              </w:rPr>
              <w:t>Bryan E. Mittelman</w:t>
            </w:r>
          </w:p>
        </w:tc>
        <w:tc>
          <w:tcPr>
            <w:tcW w:w="700" w:type="dxa"/>
            <w:vAlign w:val="bottom"/>
          </w:tcPr>
          <w:p>
            <w:pPr>
              <w:jc w:val="right"/>
              <w:ind w:right="84"/>
              <w:spacing w:after="0" w:line="169" w:lineRule="exact"/>
              <w:rPr>
                <w:sz w:val="20"/>
                <w:szCs w:val="20"/>
                <w:color w:val="auto"/>
              </w:rPr>
            </w:pPr>
            <w:r>
              <w:rPr>
                <w:rFonts w:ascii="Arial" w:cs="Arial" w:eastAsia="Arial" w:hAnsi="Arial"/>
                <w:sz w:val="15"/>
                <w:szCs w:val="15"/>
                <w:color w:val="auto"/>
              </w:rPr>
              <w:t>2025</w:t>
            </w:r>
          </w:p>
        </w:tc>
        <w:tc>
          <w:tcPr>
            <w:tcW w:w="900" w:type="dxa"/>
            <w:vAlign w:val="bottom"/>
          </w:tcPr>
          <w:p>
            <w:pPr>
              <w:jc w:val="right"/>
              <w:ind w:right="124"/>
              <w:spacing w:after="0" w:line="169" w:lineRule="exact"/>
              <w:rPr>
                <w:sz w:val="20"/>
                <w:szCs w:val="20"/>
                <w:color w:val="auto"/>
              </w:rPr>
            </w:pPr>
            <w:r>
              <w:rPr>
                <w:rFonts w:ascii="Arial" w:cs="Arial" w:eastAsia="Arial" w:hAnsi="Arial"/>
                <w:sz w:val="15"/>
                <w:szCs w:val="15"/>
                <w:color w:val="auto"/>
              </w:rPr>
              <w:t>566,500</w:t>
            </w:r>
          </w:p>
        </w:tc>
        <w:tc>
          <w:tcPr>
            <w:tcW w:w="820" w:type="dxa"/>
            <w:vAlign w:val="bottom"/>
          </w:tcPr>
          <w:p>
            <w:pPr>
              <w:spacing w:after="0"/>
              <w:rPr>
                <w:sz w:val="18"/>
                <w:szCs w:val="18"/>
                <w:color w:val="auto"/>
              </w:rPr>
            </w:pPr>
          </w:p>
        </w:tc>
        <w:tc>
          <w:tcPr>
            <w:tcW w:w="1040" w:type="dxa"/>
            <w:vAlign w:val="bottom"/>
          </w:tcPr>
          <w:p>
            <w:pPr>
              <w:jc w:val="right"/>
              <w:ind w:right="144"/>
              <w:spacing w:after="0" w:line="169" w:lineRule="exact"/>
              <w:rPr>
                <w:sz w:val="20"/>
                <w:szCs w:val="20"/>
                <w:color w:val="auto"/>
              </w:rPr>
            </w:pPr>
            <w:r>
              <w:rPr>
                <w:rFonts w:ascii="Arial" w:cs="Arial" w:eastAsia="Arial" w:hAnsi="Arial"/>
                <w:sz w:val="15"/>
                <w:szCs w:val="15"/>
                <w:color w:val="auto"/>
              </w:rPr>
              <w:t>2,160,551</w:t>
            </w:r>
          </w:p>
        </w:tc>
        <w:tc>
          <w:tcPr>
            <w:tcW w:w="920" w:type="dxa"/>
            <w:vAlign w:val="bottom"/>
          </w:tcPr>
          <w:p>
            <w:pPr>
              <w:spacing w:after="0"/>
              <w:rPr>
                <w:sz w:val="18"/>
                <w:szCs w:val="18"/>
                <w:color w:val="auto"/>
              </w:rPr>
            </w:pPr>
          </w:p>
        </w:tc>
        <w:tc>
          <w:tcPr>
            <w:tcW w:w="1360" w:type="dxa"/>
            <w:vAlign w:val="bottom"/>
          </w:tcPr>
          <w:p>
            <w:pPr>
              <w:jc w:val="right"/>
              <w:ind w:right="84"/>
              <w:spacing w:after="0" w:line="169" w:lineRule="exact"/>
              <w:rPr>
                <w:sz w:val="20"/>
                <w:szCs w:val="20"/>
                <w:color w:val="auto"/>
              </w:rPr>
            </w:pPr>
            <w:r>
              <w:rPr>
                <w:rFonts w:ascii="Arial" w:cs="Arial" w:eastAsia="Arial" w:hAnsi="Arial"/>
                <w:sz w:val="15"/>
                <w:szCs w:val="15"/>
                <w:color w:val="auto"/>
              </w:rPr>
              <w:t>0</w:t>
            </w:r>
          </w:p>
        </w:tc>
        <w:tc>
          <w:tcPr>
            <w:tcW w:w="1540" w:type="dxa"/>
            <w:vAlign w:val="bottom"/>
          </w:tcPr>
          <w:p>
            <w:pPr>
              <w:jc w:val="right"/>
              <w:ind w:right="108"/>
              <w:spacing w:after="0" w:line="170" w:lineRule="exact"/>
              <w:rPr>
                <w:sz w:val="20"/>
                <w:szCs w:val="20"/>
                <w:color w:val="auto"/>
              </w:rPr>
            </w:pPr>
            <w:r>
              <w:rPr>
                <w:rFonts w:ascii="Arial" w:cs="Arial" w:eastAsia="Arial" w:hAnsi="Arial"/>
                <w:sz w:val="12"/>
                <w:szCs w:val="12"/>
                <w:color w:val="auto"/>
              </w:rPr>
              <w:t>12,245</w:t>
            </w:r>
            <w:r>
              <w:rPr>
                <w:rFonts w:ascii="Arial" w:cs="Arial" w:eastAsia="Arial" w:hAnsi="Arial"/>
                <w:sz w:val="19"/>
                <w:szCs w:val="19"/>
                <w:color w:val="auto"/>
                <w:vertAlign w:val="superscript"/>
              </w:rPr>
              <w:t>(3)</w:t>
            </w:r>
          </w:p>
        </w:tc>
        <w:tc>
          <w:tcPr>
            <w:tcW w:w="880" w:type="dxa"/>
            <w:vAlign w:val="bottom"/>
            <w:tcBorders>
              <w:bottom w:val="single" w:sz="8" w:color="E5ECF1"/>
            </w:tcBorders>
            <w:shd w:val="clear" w:color="auto" w:fill="E5ECF1"/>
          </w:tcPr>
          <w:p>
            <w:pPr>
              <w:jc w:val="right"/>
              <w:spacing w:after="0" w:line="169" w:lineRule="exact"/>
              <w:rPr>
                <w:sz w:val="20"/>
                <w:szCs w:val="20"/>
                <w:color w:val="auto"/>
              </w:rPr>
            </w:pPr>
            <w:r>
              <w:rPr>
                <w:rFonts w:ascii="Arial" w:cs="Arial" w:eastAsia="Arial" w:hAnsi="Arial"/>
                <w:sz w:val="15"/>
                <w:szCs w:val="15"/>
                <w:color w:val="auto"/>
              </w:rPr>
              <w:t>2,739,296</w:t>
            </w:r>
          </w:p>
        </w:tc>
        <w:tc>
          <w:tcPr>
            <w:tcW w:w="0" w:type="dxa"/>
            <w:vAlign w:val="bottom"/>
          </w:tcPr>
          <w:p>
            <w:pPr>
              <w:spacing w:after="0"/>
              <w:rPr>
                <w:sz w:val="1"/>
                <w:szCs w:val="1"/>
                <w:color w:val="auto"/>
              </w:rPr>
            </w:pPr>
          </w:p>
        </w:tc>
      </w:tr>
      <w:tr>
        <w:trPr>
          <w:trHeight w:val="169"/>
        </w:trPr>
        <w:tc>
          <w:tcPr>
            <w:tcW w:w="3080" w:type="dxa"/>
            <w:vAlign w:val="bottom"/>
          </w:tcPr>
          <w:p>
            <w:pPr>
              <w:ind w:left="60"/>
              <w:spacing w:after="0" w:line="141" w:lineRule="exact"/>
              <w:rPr>
                <w:sz w:val="20"/>
                <w:szCs w:val="20"/>
                <w:color w:val="auto"/>
              </w:rPr>
            </w:pPr>
            <w:r>
              <w:rPr>
                <w:rFonts w:ascii="Arial" w:cs="Arial" w:eastAsia="Arial" w:hAnsi="Arial"/>
                <w:sz w:val="15"/>
                <w:szCs w:val="15"/>
                <w:i w:val="1"/>
                <w:iCs w:val="1"/>
                <w:color w:val="auto"/>
              </w:rPr>
              <w:t>Chief Financial Officer</w:t>
            </w:r>
          </w:p>
        </w:tc>
        <w:tc>
          <w:tcPr>
            <w:tcW w:w="700" w:type="dxa"/>
            <w:vAlign w:val="bottom"/>
            <w:tcBorders>
              <w:top w:val="single" w:sz="8" w:color="002F4D"/>
              <w:bottom w:val="single" w:sz="8" w:color="002F4D"/>
            </w:tcBorders>
          </w:tcPr>
          <w:p>
            <w:pPr>
              <w:jc w:val="right"/>
              <w:ind w:right="84"/>
              <w:spacing w:after="0" w:line="169" w:lineRule="exact"/>
              <w:rPr>
                <w:sz w:val="20"/>
                <w:szCs w:val="20"/>
                <w:color w:val="auto"/>
              </w:rPr>
            </w:pPr>
            <w:r>
              <w:rPr>
                <w:rFonts w:ascii="Arial" w:cs="Arial" w:eastAsia="Arial" w:hAnsi="Arial"/>
                <w:sz w:val="15"/>
                <w:szCs w:val="15"/>
                <w:color w:val="auto"/>
              </w:rPr>
              <w:t>2024</w:t>
            </w:r>
          </w:p>
        </w:tc>
        <w:tc>
          <w:tcPr>
            <w:tcW w:w="900" w:type="dxa"/>
            <w:vAlign w:val="bottom"/>
            <w:tcBorders>
              <w:top w:val="single" w:sz="8" w:color="002F4D"/>
              <w:bottom w:val="single" w:sz="8" w:color="002F4D"/>
            </w:tcBorders>
          </w:tcPr>
          <w:p>
            <w:pPr>
              <w:jc w:val="right"/>
              <w:ind w:right="124"/>
              <w:spacing w:after="0" w:line="169" w:lineRule="exact"/>
              <w:rPr>
                <w:sz w:val="20"/>
                <w:szCs w:val="20"/>
                <w:color w:val="auto"/>
              </w:rPr>
            </w:pPr>
            <w:r>
              <w:rPr>
                <w:rFonts w:ascii="Arial" w:cs="Arial" w:eastAsia="Arial" w:hAnsi="Arial"/>
                <w:sz w:val="15"/>
                <w:szCs w:val="15"/>
                <w:color w:val="auto"/>
              </w:rPr>
              <w:t>550,000</w:t>
            </w:r>
          </w:p>
        </w:tc>
        <w:tc>
          <w:tcPr>
            <w:tcW w:w="820" w:type="dxa"/>
            <w:vAlign w:val="bottom"/>
            <w:tcBorders>
              <w:top w:val="single" w:sz="8" w:color="002F4D"/>
              <w:bottom w:val="single" w:sz="8" w:color="002F4D"/>
            </w:tcBorders>
          </w:tcPr>
          <w:p>
            <w:pPr>
              <w:spacing w:after="0"/>
              <w:rPr>
                <w:sz w:val="14"/>
                <w:szCs w:val="14"/>
                <w:color w:val="auto"/>
              </w:rPr>
            </w:pPr>
          </w:p>
        </w:tc>
        <w:tc>
          <w:tcPr>
            <w:tcW w:w="1040" w:type="dxa"/>
            <w:vAlign w:val="bottom"/>
            <w:tcBorders>
              <w:top w:val="single" w:sz="8" w:color="002F4D"/>
              <w:bottom w:val="single" w:sz="8" w:color="002F4D"/>
            </w:tcBorders>
          </w:tcPr>
          <w:p>
            <w:pPr>
              <w:jc w:val="right"/>
              <w:ind w:right="144"/>
              <w:spacing w:after="0" w:line="169" w:lineRule="exact"/>
              <w:rPr>
                <w:sz w:val="20"/>
                <w:szCs w:val="20"/>
                <w:color w:val="auto"/>
              </w:rPr>
            </w:pPr>
            <w:r>
              <w:rPr>
                <w:rFonts w:ascii="Arial" w:cs="Arial" w:eastAsia="Arial" w:hAnsi="Arial"/>
                <w:sz w:val="15"/>
                <w:szCs w:val="15"/>
                <w:color w:val="auto"/>
              </w:rPr>
              <w:t>1,898,021</w:t>
            </w:r>
          </w:p>
        </w:tc>
        <w:tc>
          <w:tcPr>
            <w:tcW w:w="920" w:type="dxa"/>
            <w:vAlign w:val="bottom"/>
            <w:tcBorders>
              <w:top w:val="single" w:sz="8" w:color="002F4D"/>
              <w:bottom w:val="single" w:sz="8" w:color="002F4D"/>
            </w:tcBorders>
          </w:tcPr>
          <w:p>
            <w:pPr>
              <w:spacing w:after="0"/>
              <w:rPr>
                <w:sz w:val="14"/>
                <w:szCs w:val="14"/>
                <w:color w:val="auto"/>
              </w:rPr>
            </w:pPr>
          </w:p>
        </w:tc>
        <w:tc>
          <w:tcPr>
            <w:tcW w:w="1360" w:type="dxa"/>
            <w:vAlign w:val="bottom"/>
            <w:tcBorders>
              <w:top w:val="single" w:sz="8" w:color="002F4D"/>
              <w:bottom w:val="single" w:sz="8" w:color="002F4D"/>
            </w:tcBorders>
          </w:tcPr>
          <w:p>
            <w:pPr>
              <w:jc w:val="right"/>
              <w:ind w:right="84"/>
              <w:spacing w:after="0" w:line="169" w:lineRule="exact"/>
              <w:rPr>
                <w:sz w:val="20"/>
                <w:szCs w:val="20"/>
                <w:color w:val="auto"/>
              </w:rPr>
            </w:pPr>
            <w:r>
              <w:rPr>
                <w:rFonts w:ascii="Arial" w:cs="Arial" w:eastAsia="Arial" w:hAnsi="Arial"/>
                <w:sz w:val="15"/>
                <w:szCs w:val="15"/>
                <w:color w:val="auto"/>
              </w:rPr>
              <w:t>105,364</w:t>
            </w:r>
          </w:p>
        </w:tc>
        <w:tc>
          <w:tcPr>
            <w:tcW w:w="1540" w:type="dxa"/>
            <w:vAlign w:val="bottom"/>
            <w:tcBorders>
              <w:top w:val="single" w:sz="8" w:color="002F4D"/>
              <w:bottom w:val="single" w:sz="8" w:color="002F4D"/>
            </w:tcBorders>
          </w:tcPr>
          <w:p>
            <w:pPr>
              <w:jc w:val="right"/>
              <w:ind w:right="268"/>
              <w:spacing w:after="0" w:line="169" w:lineRule="exact"/>
              <w:rPr>
                <w:sz w:val="20"/>
                <w:szCs w:val="20"/>
                <w:color w:val="auto"/>
              </w:rPr>
            </w:pPr>
            <w:r>
              <w:rPr>
                <w:rFonts w:ascii="Arial" w:cs="Arial" w:eastAsia="Arial" w:hAnsi="Arial"/>
                <w:sz w:val="15"/>
                <w:szCs w:val="15"/>
                <w:color w:val="auto"/>
              </w:rPr>
              <w:t>14,088</w:t>
            </w:r>
          </w:p>
        </w:tc>
        <w:tc>
          <w:tcPr>
            <w:tcW w:w="880" w:type="dxa"/>
            <w:vAlign w:val="bottom"/>
            <w:tcBorders>
              <w:top w:val="single" w:sz="8" w:color="002F4D"/>
              <w:bottom w:val="single" w:sz="8" w:color="002F4D"/>
            </w:tcBorders>
            <w:shd w:val="clear" w:color="auto" w:fill="E5ECF1"/>
          </w:tcPr>
          <w:p>
            <w:pPr>
              <w:jc w:val="right"/>
              <w:spacing w:after="0" w:line="169" w:lineRule="exact"/>
              <w:rPr>
                <w:sz w:val="20"/>
                <w:szCs w:val="20"/>
                <w:color w:val="auto"/>
              </w:rPr>
            </w:pPr>
            <w:r>
              <w:rPr>
                <w:rFonts w:ascii="Arial" w:cs="Arial" w:eastAsia="Arial" w:hAnsi="Arial"/>
                <w:sz w:val="15"/>
                <w:szCs w:val="15"/>
                <w:color w:val="auto"/>
              </w:rPr>
              <w:t>2,567,473</w:t>
            </w:r>
          </w:p>
        </w:tc>
        <w:tc>
          <w:tcPr>
            <w:tcW w:w="0" w:type="dxa"/>
            <w:vAlign w:val="bottom"/>
          </w:tcPr>
          <w:p>
            <w:pPr>
              <w:spacing w:after="0"/>
              <w:rPr>
                <w:sz w:val="1"/>
                <w:szCs w:val="1"/>
                <w:color w:val="auto"/>
              </w:rPr>
            </w:pPr>
          </w:p>
        </w:tc>
      </w:tr>
      <w:tr>
        <w:trPr>
          <w:trHeight w:val="169"/>
        </w:trPr>
        <w:tc>
          <w:tcPr>
            <w:tcW w:w="3080" w:type="dxa"/>
            <w:vAlign w:val="bottom"/>
            <w:tcBorders>
              <w:bottom w:val="single" w:sz="8" w:color="002F4D"/>
            </w:tcBorders>
          </w:tcPr>
          <w:p>
            <w:pPr>
              <w:spacing w:after="0"/>
              <w:rPr>
                <w:sz w:val="14"/>
                <w:szCs w:val="14"/>
                <w:color w:val="auto"/>
              </w:rPr>
            </w:pPr>
          </w:p>
        </w:tc>
        <w:tc>
          <w:tcPr>
            <w:tcW w:w="700" w:type="dxa"/>
            <w:vAlign w:val="bottom"/>
            <w:tcBorders>
              <w:bottom w:val="single" w:sz="8" w:color="002F4D"/>
            </w:tcBorders>
          </w:tcPr>
          <w:p>
            <w:pPr>
              <w:jc w:val="right"/>
              <w:ind w:right="84"/>
              <w:spacing w:after="0" w:line="169" w:lineRule="exact"/>
              <w:rPr>
                <w:sz w:val="20"/>
                <w:szCs w:val="20"/>
                <w:color w:val="auto"/>
              </w:rPr>
            </w:pPr>
            <w:r>
              <w:rPr>
                <w:rFonts w:ascii="Arial" w:cs="Arial" w:eastAsia="Arial" w:hAnsi="Arial"/>
                <w:sz w:val="15"/>
                <w:szCs w:val="15"/>
                <w:color w:val="auto"/>
              </w:rPr>
              <w:t>2023</w:t>
            </w:r>
          </w:p>
        </w:tc>
        <w:tc>
          <w:tcPr>
            <w:tcW w:w="900" w:type="dxa"/>
            <w:vAlign w:val="bottom"/>
            <w:tcBorders>
              <w:bottom w:val="single" w:sz="8" w:color="002F4D"/>
            </w:tcBorders>
          </w:tcPr>
          <w:p>
            <w:pPr>
              <w:jc w:val="right"/>
              <w:ind w:right="124"/>
              <w:spacing w:after="0" w:line="169" w:lineRule="exact"/>
              <w:rPr>
                <w:sz w:val="20"/>
                <w:szCs w:val="20"/>
                <w:color w:val="auto"/>
              </w:rPr>
            </w:pPr>
            <w:r>
              <w:rPr>
                <w:rFonts w:ascii="Arial" w:cs="Arial" w:eastAsia="Arial" w:hAnsi="Arial"/>
                <w:sz w:val="15"/>
                <w:szCs w:val="15"/>
                <w:color w:val="auto"/>
              </w:rPr>
              <w:t>525,000</w:t>
            </w:r>
          </w:p>
        </w:tc>
        <w:tc>
          <w:tcPr>
            <w:tcW w:w="820" w:type="dxa"/>
            <w:vAlign w:val="bottom"/>
            <w:tcBorders>
              <w:bottom w:val="single" w:sz="8" w:color="002F4D"/>
            </w:tcBorders>
          </w:tcPr>
          <w:p>
            <w:pPr>
              <w:spacing w:after="0"/>
              <w:rPr>
                <w:sz w:val="14"/>
                <w:szCs w:val="14"/>
                <w:color w:val="auto"/>
              </w:rPr>
            </w:pPr>
          </w:p>
        </w:tc>
        <w:tc>
          <w:tcPr>
            <w:tcW w:w="1040" w:type="dxa"/>
            <w:vAlign w:val="bottom"/>
            <w:tcBorders>
              <w:bottom w:val="single" w:sz="8" w:color="002F4D"/>
            </w:tcBorders>
          </w:tcPr>
          <w:p>
            <w:pPr>
              <w:jc w:val="right"/>
              <w:ind w:right="144"/>
              <w:spacing w:after="0" w:line="169" w:lineRule="exact"/>
              <w:rPr>
                <w:sz w:val="20"/>
                <w:szCs w:val="20"/>
                <w:color w:val="auto"/>
              </w:rPr>
            </w:pPr>
            <w:r>
              <w:rPr>
                <w:rFonts w:ascii="Arial" w:cs="Arial" w:eastAsia="Arial" w:hAnsi="Arial"/>
                <w:sz w:val="15"/>
                <w:szCs w:val="15"/>
                <w:color w:val="auto"/>
              </w:rPr>
              <w:t>1,747,367</w:t>
            </w:r>
          </w:p>
        </w:tc>
        <w:tc>
          <w:tcPr>
            <w:tcW w:w="920" w:type="dxa"/>
            <w:vAlign w:val="bottom"/>
            <w:tcBorders>
              <w:bottom w:val="single" w:sz="8" w:color="002F4D"/>
            </w:tcBorders>
          </w:tcPr>
          <w:p>
            <w:pPr>
              <w:spacing w:after="0"/>
              <w:rPr>
                <w:sz w:val="14"/>
                <w:szCs w:val="14"/>
                <w:color w:val="auto"/>
              </w:rPr>
            </w:pPr>
          </w:p>
        </w:tc>
        <w:tc>
          <w:tcPr>
            <w:tcW w:w="1360" w:type="dxa"/>
            <w:vAlign w:val="bottom"/>
            <w:tcBorders>
              <w:bottom w:val="single" w:sz="8" w:color="002F4D"/>
            </w:tcBorders>
          </w:tcPr>
          <w:p>
            <w:pPr>
              <w:jc w:val="right"/>
              <w:ind w:right="84"/>
              <w:spacing w:after="0" w:line="169" w:lineRule="exact"/>
              <w:rPr>
                <w:sz w:val="20"/>
                <w:szCs w:val="20"/>
                <w:color w:val="auto"/>
              </w:rPr>
            </w:pPr>
            <w:r>
              <w:rPr>
                <w:rFonts w:ascii="Arial" w:cs="Arial" w:eastAsia="Arial" w:hAnsi="Arial"/>
                <w:sz w:val="15"/>
                <w:szCs w:val="15"/>
                <w:color w:val="auto"/>
              </w:rPr>
              <w:t>700,350</w:t>
            </w:r>
          </w:p>
        </w:tc>
        <w:tc>
          <w:tcPr>
            <w:tcW w:w="1540" w:type="dxa"/>
            <w:vAlign w:val="bottom"/>
            <w:tcBorders>
              <w:bottom w:val="single" w:sz="8" w:color="002F4D"/>
            </w:tcBorders>
          </w:tcPr>
          <w:p>
            <w:pPr>
              <w:jc w:val="right"/>
              <w:ind w:right="268"/>
              <w:spacing w:after="0" w:line="169" w:lineRule="exact"/>
              <w:rPr>
                <w:sz w:val="20"/>
                <w:szCs w:val="20"/>
                <w:color w:val="auto"/>
              </w:rPr>
            </w:pPr>
            <w:r>
              <w:rPr>
                <w:rFonts w:ascii="Arial" w:cs="Arial" w:eastAsia="Arial" w:hAnsi="Arial"/>
                <w:sz w:val="15"/>
                <w:szCs w:val="15"/>
                <w:color w:val="auto"/>
              </w:rPr>
              <w:t>13,580</w:t>
            </w:r>
          </w:p>
        </w:tc>
        <w:tc>
          <w:tcPr>
            <w:tcW w:w="880" w:type="dxa"/>
            <w:vAlign w:val="bottom"/>
            <w:tcBorders>
              <w:bottom w:val="single" w:sz="8" w:color="002F4D"/>
            </w:tcBorders>
            <w:shd w:val="clear" w:color="auto" w:fill="E5ECF1"/>
          </w:tcPr>
          <w:p>
            <w:pPr>
              <w:jc w:val="right"/>
              <w:spacing w:after="0" w:line="169" w:lineRule="exact"/>
              <w:rPr>
                <w:sz w:val="20"/>
                <w:szCs w:val="20"/>
                <w:color w:val="auto"/>
              </w:rPr>
            </w:pPr>
            <w:r>
              <w:rPr>
                <w:rFonts w:ascii="Arial" w:cs="Arial" w:eastAsia="Arial" w:hAnsi="Arial"/>
                <w:sz w:val="15"/>
                <w:szCs w:val="15"/>
                <w:color w:val="auto"/>
              </w:rPr>
              <w:t>2,986,297</w:t>
            </w:r>
          </w:p>
        </w:tc>
        <w:tc>
          <w:tcPr>
            <w:tcW w:w="0" w:type="dxa"/>
            <w:vAlign w:val="bottom"/>
          </w:tcPr>
          <w:p>
            <w:pPr>
              <w:spacing w:after="0"/>
              <w:rPr>
                <w:sz w:val="1"/>
                <w:szCs w:val="1"/>
                <w:color w:val="auto"/>
              </w:rPr>
            </w:pPr>
          </w:p>
        </w:tc>
      </w:tr>
      <w:tr>
        <w:trPr>
          <w:trHeight w:val="207"/>
        </w:trPr>
        <w:tc>
          <w:tcPr>
            <w:tcW w:w="3080" w:type="dxa"/>
            <w:vAlign w:val="bottom"/>
          </w:tcPr>
          <w:p>
            <w:pPr>
              <w:ind w:left="60"/>
              <w:spacing w:after="0" w:line="169" w:lineRule="exact"/>
              <w:rPr>
                <w:sz w:val="20"/>
                <w:szCs w:val="20"/>
                <w:color w:val="auto"/>
              </w:rPr>
            </w:pPr>
            <w:r>
              <w:rPr>
                <w:rFonts w:ascii="Arial" w:cs="Arial" w:eastAsia="Arial" w:hAnsi="Arial"/>
                <w:sz w:val="15"/>
                <w:szCs w:val="15"/>
                <w:b w:val="1"/>
                <w:bCs w:val="1"/>
                <w:color w:val="auto"/>
              </w:rPr>
              <w:t>James K. Pool III</w:t>
            </w:r>
          </w:p>
        </w:tc>
        <w:tc>
          <w:tcPr>
            <w:tcW w:w="700" w:type="dxa"/>
            <w:vAlign w:val="bottom"/>
          </w:tcPr>
          <w:p>
            <w:pPr>
              <w:jc w:val="right"/>
              <w:ind w:right="84"/>
              <w:spacing w:after="0" w:line="169" w:lineRule="exact"/>
              <w:rPr>
                <w:sz w:val="20"/>
                <w:szCs w:val="20"/>
                <w:color w:val="auto"/>
              </w:rPr>
            </w:pPr>
            <w:r>
              <w:rPr>
                <w:rFonts w:ascii="Arial" w:cs="Arial" w:eastAsia="Arial" w:hAnsi="Arial"/>
                <w:sz w:val="15"/>
                <w:szCs w:val="15"/>
                <w:color w:val="auto"/>
              </w:rPr>
              <w:t>2025</w:t>
            </w:r>
          </w:p>
        </w:tc>
        <w:tc>
          <w:tcPr>
            <w:tcW w:w="900" w:type="dxa"/>
            <w:vAlign w:val="bottom"/>
          </w:tcPr>
          <w:p>
            <w:pPr>
              <w:jc w:val="right"/>
              <w:ind w:right="124"/>
              <w:spacing w:after="0" w:line="169" w:lineRule="exact"/>
              <w:rPr>
                <w:sz w:val="20"/>
                <w:szCs w:val="20"/>
                <w:color w:val="auto"/>
              </w:rPr>
            </w:pPr>
            <w:r>
              <w:rPr>
                <w:rFonts w:ascii="Arial" w:cs="Arial" w:eastAsia="Arial" w:hAnsi="Arial"/>
                <w:sz w:val="15"/>
                <w:szCs w:val="15"/>
                <w:color w:val="auto"/>
              </w:rPr>
              <w:t>618,000</w:t>
            </w:r>
          </w:p>
        </w:tc>
        <w:tc>
          <w:tcPr>
            <w:tcW w:w="820" w:type="dxa"/>
            <w:vAlign w:val="bottom"/>
          </w:tcPr>
          <w:p>
            <w:pPr>
              <w:spacing w:after="0"/>
              <w:rPr>
                <w:sz w:val="18"/>
                <w:szCs w:val="18"/>
                <w:color w:val="auto"/>
              </w:rPr>
            </w:pPr>
          </w:p>
        </w:tc>
        <w:tc>
          <w:tcPr>
            <w:tcW w:w="1040" w:type="dxa"/>
            <w:vAlign w:val="bottom"/>
          </w:tcPr>
          <w:p>
            <w:pPr>
              <w:jc w:val="right"/>
              <w:ind w:right="144"/>
              <w:spacing w:after="0" w:line="169" w:lineRule="exact"/>
              <w:rPr>
                <w:sz w:val="20"/>
                <w:szCs w:val="20"/>
                <w:color w:val="auto"/>
              </w:rPr>
            </w:pPr>
            <w:r>
              <w:rPr>
                <w:rFonts w:ascii="Arial" w:cs="Arial" w:eastAsia="Arial" w:hAnsi="Arial"/>
                <w:sz w:val="15"/>
                <w:szCs w:val="15"/>
                <w:color w:val="auto"/>
              </w:rPr>
              <w:t>2,956,598</w:t>
            </w:r>
          </w:p>
        </w:tc>
        <w:tc>
          <w:tcPr>
            <w:tcW w:w="920" w:type="dxa"/>
            <w:vAlign w:val="bottom"/>
          </w:tcPr>
          <w:p>
            <w:pPr>
              <w:spacing w:after="0"/>
              <w:rPr>
                <w:sz w:val="18"/>
                <w:szCs w:val="18"/>
                <w:color w:val="auto"/>
              </w:rPr>
            </w:pPr>
          </w:p>
        </w:tc>
        <w:tc>
          <w:tcPr>
            <w:tcW w:w="1360" w:type="dxa"/>
            <w:vAlign w:val="bottom"/>
          </w:tcPr>
          <w:p>
            <w:pPr>
              <w:jc w:val="right"/>
              <w:ind w:right="84"/>
              <w:spacing w:after="0" w:line="169" w:lineRule="exact"/>
              <w:rPr>
                <w:sz w:val="20"/>
                <w:szCs w:val="20"/>
                <w:color w:val="auto"/>
              </w:rPr>
            </w:pPr>
            <w:r>
              <w:rPr>
                <w:rFonts w:ascii="Arial" w:cs="Arial" w:eastAsia="Arial" w:hAnsi="Arial"/>
                <w:sz w:val="15"/>
                <w:szCs w:val="15"/>
                <w:color w:val="auto"/>
              </w:rPr>
              <w:t>0</w:t>
            </w:r>
          </w:p>
        </w:tc>
        <w:tc>
          <w:tcPr>
            <w:tcW w:w="1540" w:type="dxa"/>
            <w:vAlign w:val="bottom"/>
          </w:tcPr>
          <w:p>
            <w:pPr>
              <w:jc w:val="right"/>
              <w:ind w:right="108"/>
              <w:spacing w:after="0" w:line="170" w:lineRule="exact"/>
              <w:rPr>
                <w:sz w:val="20"/>
                <w:szCs w:val="20"/>
                <w:color w:val="auto"/>
              </w:rPr>
            </w:pPr>
            <w:r>
              <w:rPr>
                <w:rFonts w:ascii="Arial" w:cs="Arial" w:eastAsia="Arial" w:hAnsi="Arial"/>
                <w:sz w:val="12"/>
                <w:szCs w:val="12"/>
                <w:color w:val="auto"/>
              </w:rPr>
              <w:t>9,209</w:t>
            </w:r>
            <w:r>
              <w:rPr>
                <w:rFonts w:ascii="Arial" w:cs="Arial" w:eastAsia="Arial" w:hAnsi="Arial"/>
                <w:sz w:val="19"/>
                <w:szCs w:val="19"/>
                <w:color w:val="auto"/>
                <w:vertAlign w:val="superscript"/>
              </w:rPr>
              <w:t>(4)</w:t>
            </w:r>
          </w:p>
        </w:tc>
        <w:tc>
          <w:tcPr>
            <w:tcW w:w="880" w:type="dxa"/>
            <w:vAlign w:val="bottom"/>
            <w:tcBorders>
              <w:bottom w:val="single" w:sz="8" w:color="E5ECF1"/>
            </w:tcBorders>
            <w:shd w:val="clear" w:color="auto" w:fill="E5ECF1"/>
          </w:tcPr>
          <w:p>
            <w:pPr>
              <w:jc w:val="right"/>
              <w:spacing w:after="0" w:line="169" w:lineRule="exact"/>
              <w:rPr>
                <w:sz w:val="20"/>
                <w:szCs w:val="20"/>
                <w:color w:val="auto"/>
              </w:rPr>
            </w:pPr>
            <w:r>
              <w:rPr>
                <w:rFonts w:ascii="Arial" w:cs="Arial" w:eastAsia="Arial" w:hAnsi="Arial"/>
                <w:sz w:val="15"/>
                <w:szCs w:val="15"/>
                <w:color w:val="auto"/>
              </w:rPr>
              <w:t>3,583,807</w:t>
            </w:r>
          </w:p>
        </w:tc>
        <w:tc>
          <w:tcPr>
            <w:tcW w:w="0" w:type="dxa"/>
            <w:vAlign w:val="bottom"/>
          </w:tcPr>
          <w:p>
            <w:pPr>
              <w:spacing w:after="0"/>
              <w:rPr>
                <w:sz w:val="1"/>
                <w:szCs w:val="1"/>
                <w:color w:val="auto"/>
              </w:rPr>
            </w:pPr>
          </w:p>
        </w:tc>
      </w:tr>
      <w:tr>
        <w:trPr>
          <w:trHeight w:val="107"/>
        </w:trPr>
        <w:tc>
          <w:tcPr>
            <w:tcW w:w="3080" w:type="dxa"/>
            <w:vAlign w:val="bottom"/>
          </w:tcPr>
          <w:p>
            <w:pPr>
              <w:ind w:left="60"/>
              <w:spacing w:after="0" w:line="107" w:lineRule="exact"/>
              <w:rPr>
                <w:sz w:val="20"/>
                <w:szCs w:val="20"/>
                <w:color w:val="auto"/>
              </w:rPr>
            </w:pPr>
            <w:r>
              <w:rPr>
                <w:rFonts w:ascii="Arial" w:cs="Arial" w:eastAsia="Arial" w:hAnsi="Arial"/>
                <w:sz w:val="12"/>
                <w:szCs w:val="12"/>
                <w:i w:val="1"/>
                <w:iCs w:val="1"/>
                <w:color w:val="auto"/>
              </w:rPr>
              <w:t>Chief Technology and Operations</w:t>
            </w:r>
          </w:p>
        </w:tc>
        <w:tc>
          <w:tcPr>
            <w:tcW w:w="700" w:type="dxa"/>
            <w:vAlign w:val="bottom"/>
            <w:tcBorders>
              <w:top w:val="single" w:sz="8" w:color="002F4D"/>
            </w:tcBorders>
            <w:vMerge w:val="restart"/>
          </w:tcPr>
          <w:p>
            <w:pPr>
              <w:jc w:val="right"/>
              <w:ind w:right="84"/>
              <w:spacing w:after="0" w:line="169" w:lineRule="exact"/>
              <w:rPr>
                <w:sz w:val="20"/>
                <w:szCs w:val="20"/>
                <w:color w:val="auto"/>
              </w:rPr>
            </w:pPr>
            <w:r>
              <w:rPr>
                <w:rFonts w:ascii="Arial" w:cs="Arial" w:eastAsia="Arial" w:hAnsi="Arial"/>
                <w:sz w:val="15"/>
                <w:szCs w:val="15"/>
                <w:color w:val="auto"/>
              </w:rPr>
              <w:t>2024</w:t>
            </w:r>
          </w:p>
        </w:tc>
        <w:tc>
          <w:tcPr>
            <w:tcW w:w="900" w:type="dxa"/>
            <w:vAlign w:val="bottom"/>
            <w:tcBorders>
              <w:top w:val="single" w:sz="8" w:color="002F4D"/>
            </w:tcBorders>
            <w:vMerge w:val="restart"/>
          </w:tcPr>
          <w:p>
            <w:pPr>
              <w:jc w:val="right"/>
              <w:ind w:right="124"/>
              <w:spacing w:after="0" w:line="169" w:lineRule="exact"/>
              <w:rPr>
                <w:sz w:val="20"/>
                <w:szCs w:val="20"/>
                <w:color w:val="auto"/>
              </w:rPr>
            </w:pPr>
            <w:r>
              <w:rPr>
                <w:rFonts w:ascii="Arial" w:cs="Arial" w:eastAsia="Arial" w:hAnsi="Arial"/>
                <w:sz w:val="15"/>
                <w:szCs w:val="15"/>
                <w:color w:val="auto"/>
              </w:rPr>
              <w:t>600,000</w:t>
            </w:r>
          </w:p>
        </w:tc>
        <w:tc>
          <w:tcPr>
            <w:tcW w:w="820" w:type="dxa"/>
            <w:vAlign w:val="bottom"/>
            <w:tcBorders>
              <w:top w:val="single" w:sz="8" w:color="002F4D"/>
            </w:tcBorders>
          </w:tcPr>
          <w:p>
            <w:pPr>
              <w:spacing w:after="0"/>
              <w:rPr>
                <w:sz w:val="9"/>
                <w:szCs w:val="9"/>
                <w:color w:val="auto"/>
              </w:rPr>
            </w:pPr>
          </w:p>
        </w:tc>
        <w:tc>
          <w:tcPr>
            <w:tcW w:w="1040" w:type="dxa"/>
            <w:vAlign w:val="bottom"/>
            <w:tcBorders>
              <w:top w:val="single" w:sz="8" w:color="002F4D"/>
            </w:tcBorders>
            <w:vMerge w:val="restart"/>
          </w:tcPr>
          <w:p>
            <w:pPr>
              <w:jc w:val="right"/>
              <w:ind w:right="144"/>
              <w:spacing w:after="0" w:line="169" w:lineRule="exact"/>
              <w:rPr>
                <w:sz w:val="20"/>
                <w:szCs w:val="20"/>
                <w:color w:val="auto"/>
              </w:rPr>
            </w:pPr>
            <w:r>
              <w:rPr>
                <w:rFonts w:ascii="Arial" w:cs="Arial" w:eastAsia="Arial" w:hAnsi="Arial"/>
                <w:sz w:val="15"/>
                <w:szCs w:val="15"/>
                <w:color w:val="auto"/>
              </w:rPr>
              <w:t>2,597,255</w:t>
            </w:r>
          </w:p>
        </w:tc>
        <w:tc>
          <w:tcPr>
            <w:tcW w:w="920" w:type="dxa"/>
            <w:vAlign w:val="bottom"/>
            <w:tcBorders>
              <w:top w:val="single" w:sz="8" w:color="002F4D"/>
            </w:tcBorders>
          </w:tcPr>
          <w:p>
            <w:pPr>
              <w:spacing w:after="0"/>
              <w:rPr>
                <w:sz w:val="9"/>
                <w:szCs w:val="9"/>
                <w:color w:val="auto"/>
              </w:rPr>
            </w:pPr>
          </w:p>
        </w:tc>
        <w:tc>
          <w:tcPr>
            <w:tcW w:w="1360" w:type="dxa"/>
            <w:vAlign w:val="bottom"/>
            <w:tcBorders>
              <w:top w:val="single" w:sz="8" w:color="002F4D"/>
            </w:tcBorders>
            <w:vMerge w:val="restart"/>
          </w:tcPr>
          <w:p>
            <w:pPr>
              <w:jc w:val="right"/>
              <w:ind w:right="84"/>
              <w:spacing w:after="0" w:line="169" w:lineRule="exact"/>
              <w:rPr>
                <w:sz w:val="20"/>
                <w:szCs w:val="20"/>
                <w:color w:val="auto"/>
              </w:rPr>
            </w:pPr>
            <w:r>
              <w:rPr>
                <w:rFonts w:ascii="Arial" w:cs="Arial" w:eastAsia="Arial" w:hAnsi="Arial"/>
                <w:sz w:val="15"/>
                <w:szCs w:val="15"/>
                <w:color w:val="auto"/>
              </w:rPr>
              <w:t>114,942</w:t>
            </w:r>
          </w:p>
        </w:tc>
        <w:tc>
          <w:tcPr>
            <w:tcW w:w="1540" w:type="dxa"/>
            <w:vAlign w:val="bottom"/>
            <w:tcBorders>
              <w:top w:val="single" w:sz="8" w:color="002F4D"/>
            </w:tcBorders>
            <w:vMerge w:val="restart"/>
          </w:tcPr>
          <w:p>
            <w:pPr>
              <w:jc w:val="right"/>
              <w:ind w:right="268"/>
              <w:spacing w:after="0" w:line="169" w:lineRule="exact"/>
              <w:rPr>
                <w:sz w:val="20"/>
                <w:szCs w:val="20"/>
                <w:color w:val="auto"/>
              </w:rPr>
            </w:pPr>
            <w:r>
              <w:rPr>
                <w:rFonts w:ascii="Arial" w:cs="Arial" w:eastAsia="Arial" w:hAnsi="Arial"/>
                <w:sz w:val="15"/>
                <w:szCs w:val="15"/>
                <w:color w:val="auto"/>
              </w:rPr>
              <w:t>9,195</w:t>
            </w:r>
          </w:p>
        </w:tc>
        <w:tc>
          <w:tcPr>
            <w:tcW w:w="880" w:type="dxa"/>
            <w:vAlign w:val="bottom"/>
            <w:tcBorders>
              <w:top w:val="single" w:sz="8" w:color="002F4D"/>
            </w:tcBorders>
            <w:vMerge w:val="restart"/>
            <w:shd w:val="clear" w:color="auto" w:fill="E5ECF1"/>
          </w:tcPr>
          <w:p>
            <w:pPr>
              <w:jc w:val="right"/>
              <w:spacing w:after="0" w:line="169" w:lineRule="exact"/>
              <w:rPr>
                <w:sz w:val="20"/>
                <w:szCs w:val="20"/>
                <w:color w:val="auto"/>
              </w:rPr>
            </w:pPr>
            <w:r>
              <w:rPr>
                <w:rFonts w:ascii="Arial" w:cs="Arial" w:eastAsia="Arial" w:hAnsi="Arial"/>
                <w:sz w:val="15"/>
                <w:szCs w:val="15"/>
                <w:color w:val="auto"/>
              </w:rPr>
              <w:t>3,321,392</w:t>
            </w:r>
          </w:p>
        </w:tc>
        <w:tc>
          <w:tcPr>
            <w:tcW w:w="0" w:type="dxa"/>
            <w:vAlign w:val="bottom"/>
          </w:tcPr>
          <w:p>
            <w:pPr>
              <w:spacing w:after="0"/>
              <w:rPr>
                <w:sz w:val="1"/>
                <w:szCs w:val="1"/>
                <w:color w:val="auto"/>
              </w:rPr>
            </w:pPr>
          </w:p>
        </w:tc>
      </w:tr>
      <w:tr>
        <w:trPr>
          <w:trHeight w:val="63"/>
        </w:trPr>
        <w:tc>
          <w:tcPr>
            <w:tcW w:w="308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Officer</w:t>
            </w:r>
          </w:p>
        </w:tc>
        <w:tc>
          <w:tcPr>
            <w:tcW w:w="700" w:type="dxa"/>
            <w:vAlign w:val="bottom"/>
            <w:tcBorders>
              <w:bottom w:val="single" w:sz="8" w:color="002F4D"/>
            </w:tcBorders>
            <w:vMerge w:val="continue"/>
          </w:tcPr>
          <w:p>
            <w:pPr>
              <w:spacing w:after="0"/>
              <w:rPr>
                <w:sz w:val="5"/>
                <w:szCs w:val="5"/>
                <w:color w:val="auto"/>
              </w:rPr>
            </w:pPr>
          </w:p>
        </w:tc>
        <w:tc>
          <w:tcPr>
            <w:tcW w:w="900" w:type="dxa"/>
            <w:vAlign w:val="bottom"/>
            <w:tcBorders>
              <w:bottom w:val="single" w:sz="8" w:color="002F4D"/>
            </w:tcBorders>
            <w:vMerge w:val="continue"/>
          </w:tcPr>
          <w:p>
            <w:pPr>
              <w:spacing w:after="0"/>
              <w:rPr>
                <w:sz w:val="5"/>
                <w:szCs w:val="5"/>
                <w:color w:val="auto"/>
              </w:rPr>
            </w:pPr>
          </w:p>
        </w:tc>
        <w:tc>
          <w:tcPr>
            <w:tcW w:w="820" w:type="dxa"/>
            <w:vAlign w:val="bottom"/>
            <w:tcBorders>
              <w:bottom w:val="single" w:sz="8" w:color="002F4D"/>
            </w:tcBorders>
          </w:tcPr>
          <w:p>
            <w:pPr>
              <w:spacing w:after="0"/>
              <w:rPr>
                <w:sz w:val="5"/>
                <w:szCs w:val="5"/>
                <w:color w:val="auto"/>
              </w:rPr>
            </w:pPr>
          </w:p>
        </w:tc>
        <w:tc>
          <w:tcPr>
            <w:tcW w:w="1040" w:type="dxa"/>
            <w:vAlign w:val="bottom"/>
            <w:tcBorders>
              <w:bottom w:val="single" w:sz="8" w:color="002F4D"/>
            </w:tcBorders>
            <w:vMerge w:val="continue"/>
          </w:tcPr>
          <w:p>
            <w:pPr>
              <w:spacing w:after="0"/>
              <w:rPr>
                <w:sz w:val="5"/>
                <w:szCs w:val="5"/>
                <w:color w:val="auto"/>
              </w:rPr>
            </w:pPr>
          </w:p>
        </w:tc>
        <w:tc>
          <w:tcPr>
            <w:tcW w:w="920" w:type="dxa"/>
            <w:vAlign w:val="bottom"/>
            <w:tcBorders>
              <w:bottom w:val="single" w:sz="8" w:color="002F4D"/>
            </w:tcBorders>
          </w:tcPr>
          <w:p>
            <w:pPr>
              <w:spacing w:after="0"/>
              <w:rPr>
                <w:sz w:val="5"/>
                <w:szCs w:val="5"/>
                <w:color w:val="auto"/>
              </w:rPr>
            </w:pPr>
          </w:p>
        </w:tc>
        <w:tc>
          <w:tcPr>
            <w:tcW w:w="1360" w:type="dxa"/>
            <w:vAlign w:val="bottom"/>
            <w:tcBorders>
              <w:bottom w:val="single" w:sz="8" w:color="002F4D"/>
            </w:tcBorders>
            <w:vMerge w:val="continue"/>
          </w:tcPr>
          <w:p>
            <w:pPr>
              <w:spacing w:after="0"/>
              <w:rPr>
                <w:sz w:val="5"/>
                <w:szCs w:val="5"/>
                <w:color w:val="auto"/>
              </w:rPr>
            </w:pPr>
          </w:p>
        </w:tc>
        <w:tc>
          <w:tcPr>
            <w:tcW w:w="1540" w:type="dxa"/>
            <w:vAlign w:val="bottom"/>
            <w:tcBorders>
              <w:bottom w:val="single" w:sz="8" w:color="002F4D"/>
            </w:tcBorders>
            <w:vMerge w:val="continue"/>
          </w:tcPr>
          <w:p>
            <w:pPr>
              <w:spacing w:after="0"/>
              <w:rPr>
                <w:sz w:val="5"/>
                <w:szCs w:val="5"/>
                <w:color w:val="auto"/>
              </w:rPr>
            </w:pPr>
          </w:p>
        </w:tc>
        <w:tc>
          <w:tcPr>
            <w:tcW w:w="880" w:type="dxa"/>
            <w:vAlign w:val="bottom"/>
            <w:tcBorders>
              <w:bottom w:val="single" w:sz="8" w:color="002F4D"/>
            </w:tcBorders>
            <w:vMerge w:val="continue"/>
            <w:shd w:val="clear" w:color="auto" w:fill="E5ECF1"/>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3080" w:type="dxa"/>
            <w:vAlign w:val="bottom"/>
            <w:vMerge w:val="continue"/>
          </w:tcPr>
          <w:p>
            <w:pPr>
              <w:spacing w:after="0"/>
              <w:rPr>
                <w:sz w:val="10"/>
                <w:szCs w:val="10"/>
                <w:color w:val="auto"/>
              </w:rPr>
            </w:pPr>
          </w:p>
        </w:tc>
        <w:tc>
          <w:tcPr>
            <w:tcW w:w="700" w:type="dxa"/>
            <w:vAlign w:val="bottom"/>
            <w:vMerge w:val="restart"/>
          </w:tcPr>
          <w:p>
            <w:pPr>
              <w:jc w:val="right"/>
              <w:ind w:right="84"/>
              <w:spacing w:after="0" w:line="169" w:lineRule="exact"/>
              <w:rPr>
                <w:sz w:val="20"/>
                <w:szCs w:val="20"/>
                <w:color w:val="auto"/>
              </w:rPr>
            </w:pPr>
            <w:r>
              <w:rPr>
                <w:rFonts w:ascii="Arial" w:cs="Arial" w:eastAsia="Arial" w:hAnsi="Arial"/>
                <w:sz w:val="15"/>
                <w:szCs w:val="15"/>
                <w:color w:val="auto"/>
              </w:rPr>
              <w:t>2023</w:t>
            </w:r>
          </w:p>
        </w:tc>
        <w:tc>
          <w:tcPr>
            <w:tcW w:w="900" w:type="dxa"/>
            <w:vAlign w:val="bottom"/>
            <w:vMerge w:val="restart"/>
          </w:tcPr>
          <w:p>
            <w:pPr>
              <w:jc w:val="right"/>
              <w:ind w:right="124"/>
              <w:spacing w:after="0" w:line="169" w:lineRule="exact"/>
              <w:rPr>
                <w:sz w:val="20"/>
                <w:szCs w:val="20"/>
                <w:color w:val="auto"/>
              </w:rPr>
            </w:pPr>
            <w:r>
              <w:rPr>
                <w:rFonts w:ascii="Arial" w:cs="Arial" w:eastAsia="Arial" w:hAnsi="Arial"/>
                <w:sz w:val="15"/>
                <w:szCs w:val="15"/>
                <w:color w:val="auto"/>
              </w:rPr>
              <w:t>575,000</w:t>
            </w:r>
          </w:p>
        </w:tc>
        <w:tc>
          <w:tcPr>
            <w:tcW w:w="820" w:type="dxa"/>
            <w:vAlign w:val="bottom"/>
          </w:tcPr>
          <w:p>
            <w:pPr>
              <w:spacing w:after="0"/>
              <w:rPr>
                <w:sz w:val="10"/>
                <w:szCs w:val="10"/>
                <w:color w:val="auto"/>
              </w:rPr>
            </w:pPr>
          </w:p>
        </w:tc>
        <w:tc>
          <w:tcPr>
            <w:tcW w:w="1040" w:type="dxa"/>
            <w:vAlign w:val="bottom"/>
            <w:vMerge w:val="restart"/>
          </w:tcPr>
          <w:p>
            <w:pPr>
              <w:jc w:val="right"/>
              <w:ind w:right="144"/>
              <w:spacing w:after="0" w:line="169" w:lineRule="exact"/>
              <w:rPr>
                <w:sz w:val="20"/>
                <w:szCs w:val="20"/>
                <w:color w:val="auto"/>
              </w:rPr>
            </w:pPr>
            <w:r>
              <w:rPr>
                <w:rFonts w:ascii="Arial" w:cs="Arial" w:eastAsia="Arial" w:hAnsi="Arial"/>
                <w:sz w:val="15"/>
                <w:szCs w:val="15"/>
                <w:color w:val="auto"/>
              </w:rPr>
              <w:t>2,396,342</w:t>
            </w:r>
          </w:p>
        </w:tc>
        <w:tc>
          <w:tcPr>
            <w:tcW w:w="920" w:type="dxa"/>
            <w:vAlign w:val="bottom"/>
          </w:tcPr>
          <w:p>
            <w:pPr>
              <w:spacing w:after="0"/>
              <w:rPr>
                <w:sz w:val="10"/>
                <w:szCs w:val="10"/>
                <w:color w:val="auto"/>
              </w:rPr>
            </w:pPr>
          </w:p>
        </w:tc>
        <w:tc>
          <w:tcPr>
            <w:tcW w:w="1360" w:type="dxa"/>
            <w:vAlign w:val="bottom"/>
            <w:vMerge w:val="restart"/>
          </w:tcPr>
          <w:p>
            <w:pPr>
              <w:jc w:val="right"/>
              <w:ind w:right="84"/>
              <w:spacing w:after="0" w:line="169" w:lineRule="exact"/>
              <w:rPr>
                <w:sz w:val="20"/>
                <w:szCs w:val="20"/>
                <w:color w:val="auto"/>
              </w:rPr>
            </w:pPr>
            <w:r>
              <w:rPr>
                <w:rFonts w:ascii="Arial" w:cs="Arial" w:eastAsia="Arial" w:hAnsi="Arial"/>
                <w:sz w:val="15"/>
                <w:szCs w:val="15"/>
                <w:color w:val="auto"/>
              </w:rPr>
              <w:t>767,050</w:t>
            </w:r>
          </w:p>
        </w:tc>
        <w:tc>
          <w:tcPr>
            <w:tcW w:w="1540" w:type="dxa"/>
            <w:vAlign w:val="bottom"/>
            <w:vMerge w:val="restart"/>
          </w:tcPr>
          <w:p>
            <w:pPr>
              <w:jc w:val="right"/>
              <w:ind w:right="268"/>
              <w:spacing w:after="0" w:line="169" w:lineRule="exact"/>
              <w:rPr>
                <w:sz w:val="20"/>
                <w:szCs w:val="20"/>
                <w:color w:val="auto"/>
              </w:rPr>
            </w:pPr>
            <w:r>
              <w:rPr>
                <w:rFonts w:ascii="Arial" w:cs="Arial" w:eastAsia="Arial" w:hAnsi="Arial"/>
                <w:sz w:val="15"/>
                <w:szCs w:val="15"/>
                <w:color w:val="auto"/>
              </w:rPr>
              <w:t>8,945</w:t>
            </w:r>
          </w:p>
        </w:tc>
        <w:tc>
          <w:tcPr>
            <w:tcW w:w="880" w:type="dxa"/>
            <w:vAlign w:val="bottom"/>
            <w:vMerge w:val="restart"/>
            <w:shd w:val="clear" w:color="auto" w:fill="E5ECF1"/>
          </w:tcPr>
          <w:p>
            <w:pPr>
              <w:jc w:val="right"/>
              <w:spacing w:after="0" w:line="169" w:lineRule="exact"/>
              <w:rPr>
                <w:sz w:val="20"/>
                <w:szCs w:val="20"/>
                <w:color w:val="auto"/>
              </w:rPr>
            </w:pPr>
            <w:r>
              <w:rPr>
                <w:rFonts w:ascii="Arial" w:cs="Arial" w:eastAsia="Arial" w:hAnsi="Arial"/>
                <w:sz w:val="15"/>
                <w:szCs w:val="15"/>
                <w:color w:val="auto"/>
              </w:rPr>
              <w:t>3,747,337</w:t>
            </w:r>
          </w:p>
        </w:tc>
        <w:tc>
          <w:tcPr>
            <w:tcW w:w="0" w:type="dxa"/>
            <w:vAlign w:val="bottom"/>
          </w:tcPr>
          <w:p>
            <w:pPr>
              <w:spacing w:after="0"/>
              <w:rPr>
                <w:sz w:val="1"/>
                <w:szCs w:val="1"/>
                <w:color w:val="auto"/>
              </w:rPr>
            </w:pPr>
          </w:p>
        </w:tc>
      </w:tr>
      <w:tr>
        <w:trPr>
          <w:trHeight w:val="53"/>
        </w:trPr>
        <w:tc>
          <w:tcPr>
            <w:tcW w:w="3080" w:type="dxa"/>
            <w:vAlign w:val="bottom"/>
            <w:tcBorders>
              <w:bottom w:val="single" w:sz="8" w:color="002F4D"/>
            </w:tcBorders>
          </w:tcPr>
          <w:p>
            <w:pPr>
              <w:spacing w:after="0"/>
              <w:rPr>
                <w:sz w:val="4"/>
                <w:szCs w:val="4"/>
                <w:color w:val="auto"/>
              </w:rPr>
            </w:pPr>
          </w:p>
        </w:tc>
        <w:tc>
          <w:tcPr>
            <w:tcW w:w="700" w:type="dxa"/>
            <w:vAlign w:val="bottom"/>
            <w:tcBorders>
              <w:bottom w:val="single" w:sz="8" w:color="002F4D"/>
            </w:tcBorders>
            <w:vMerge w:val="continue"/>
          </w:tcPr>
          <w:p>
            <w:pPr>
              <w:spacing w:after="0"/>
              <w:rPr>
                <w:sz w:val="4"/>
                <w:szCs w:val="4"/>
                <w:color w:val="auto"/>
              </w:rPr>
            </w:pPr>
          </w:p>
        </w:tc>
        <w:tc>
          <w:tcPr>
            <w:tcW w:w="900" w:type="dxa"/>
            <w:vAlign w:val="bottom"/>
            <w:tcBorders>
              <w:bottom w:val="single" w:sz="8" w:color="002F4D"/>
            </w:tcBorders>
            <w:vMerge w:val="continue"/>
          </w:tcPr>
          <w:p>
            <w:pPr>
              <w:spacing w:after="0"/>
              <w:rPr>
                <w:sz w:val="4"/>
                <w:szCs w:val="4"/>
                <w:color w:val="auto"/>
              </w:rPr>
            </w:pPr>
          </w:p>
        </w:tc>
        <w:tc>
          <w:tcPr>
            <w:tcW w:w="820" w:type="dxa"/>
            <w:vAlign w:val="bottom"/>
            <w:tcBorders>
              <w:bottom w:val="single" w:sz="8" w:color="002F4D"/>
            </w:tcBorders>
          </w:tcPr>
          <w:p>
            <w:pPr>
              <w:spacing w:after="0"/>
              <w:rPr>
                <w:sz w:val="4"/>
                <w:szCs w:val="4"/>
                <w:color w:val="auto"/>
              </w:rPr>
            </w:pPr>
          </w:p>
        </w:tc>
        <w:tc>
          <w:tcPr>
            <w:tcW w:w="1040" w:type="dxa"/>
            <w:vAlign w:val="bottom"/>
            <w:tcBorders>
              <w:bottom w:val="single" w:sz="8" w:color="002F4D"/>
            </w:tcBorders>
            <w:vMerge w:val="continue"/>
          </w:tcPr>
          <w:p>
            <w:pPr>
              <w:spacing w:after="0"/>
              <w:rPr>
                <w:sz w:val="4"/>
                <w:szCs w:val="4"/>
                <w:color w:val="auto"/>
              </w:rPr>
            </w:pPr>
          </w:p>
        </w:tc>
        <w:tc>
          <w:tcPr>
            <w:tcW w:w="920" w:type="dxa"/>
            <w:vAlign w:val="bottom"/>
            <w:tcBorders>
              <w:bottom w:val="single" w:sz="8" w:color="002F4D"/>
            </w:tcBorders>
          </w:tcPr>
          <w:p>
            <w:pPr>
              <w:spacing w:after="0"/>
              <w:rPr>
                <w:sz w:val="4"/>
                <w:szCs w:val="4"/>
                <w:color w:val="auto"/>
              </w:rPr>
            </w:pPr>
          </w:p>
        </w:tc>
        <w:tc>
          <w:tcPr>
            <w:tcW w:w="1360" w:type="dxa"/>
            <w:vAlign w:val="bottom"/>
            <w:tcBorders>
              <w:bottom w:val="single" w:sz="8" w:color="002F4D"/>
            </w:tcBorders>
            <w:vMerge w:val="continue"/>
          </w:tcPr>
          <w:p>
            <w:pPr>
              <w:spacing w:after="0"/>
              <w:rPr>
                <w:sz w:val="4"/>
                <w:szCs w:val="4"/>
                <w:color w:val="auto"/>
              </w:rPr>
            </w:pPr>
          </w:p>
        </w:tc>
        <w:tc>
          <w:tcPr>
            <w:tcW w:w="1540" w:type="dxa"/>
            <w:vAlign w:val="bottom"/>
            <w:tcBorders>
              <w:bottom w:val="single" w:sz="8" w:color="002F4D"/>
            </w:tcBorders>
            <w:vMerge w:val="continue"/>
          </w:tcPr>
          <w:p>
            <w:pPr>
              <w:spacing w:after="0"/>
              <w:rPr>
                <w:sz w:val="4"/>
                <w:szCs w:val="4"/>
                <w:color w:val="auto"/>
              </w:rPr>
            </w:pPr>
          </w:p>
        </w:tc>
        <w:tc>
          <w:tcPr>
            <w:tcW w:w="880" w:type="dxa"/>
            <w:vAlign w:val="bottom"/>
            <w:tcBorders>
              <w:bottom w:val="single" w:sz="8" w:color="002F4D"/>
            </w:tcBorders>
            <w:vMerge w:val="continue"/>
            <w:shd w:val="clear" w:color="auto" w:fill="E5ECF1"/>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3080" w:type="dxa"/>
            <w:vAlign w:val="bottom"/>
          </w:tcPr>
          <w:p>
            <w:pPr>
              <w:ind w:left="60"/>
              <w:spacing w:after="0" w:line="169" w:lineRule="exact"/>
              <w:rPr>
                <w:sz w:val="20"/>
                <w:szCs w:val="20"/>
                <w:color w:val="auto"/>
              </w:rPr>
            </w:pPr>
            <w:r>
              <w:rPr>
                <w:rFonts w:ascii="Arial" w:cs="Arial" w:eastAsia="Arial" w:hAnsi="Arial"/>
                <w:sz w:val="15"/>
                <w:szCs w:val="15"/>
                <w:b w:val="1"/>
                <w:bCs w:val="1"/>
                <w:color w:val="auto"/>
              </w:rPr>
              <w:t>Steven P. Spittle</w:t>
            </w:r>
          </w:p>
        </w:tc>
        <w:tc>
          <w:tcPr>
            <w:tcW w:w="700" w:type="dxa"/>
            <w:vAlign w:val="bottom"/>
          </w:tcPr>
          <w:p>
            <w:pPr>
              <w:jc w:val="right"/>
              <w:ind w:right="84"/>
              <w:spacing w:after="0" w:line="169" w:lineRule="exact"/>
              <w:rPr>
                <w:sz w:val="20"/>
                <w:szCs w:val="20"/>
                <w:color w:val="auto"/>
              </w:rPr>
            </w:pPr>
            <w:r>
              <w:rPr>
                <w:rFonts w:ascii="Arial" w:cs="Arial" w:eastAsia="Arial" w:hAnsi="Arial"/>
                <w:sz w:val="15"/>
                <w:szCs w:val="15"/>
                <w:color w:val="auto"/>
              </w:rPr>
              <w:t>2025</w:t>
            </w:r>
          </w:p>
        </w:tc>
        <w:tc>
          <w:tcPr>
            <w:tcW w:w="900" w:type="dxa"/>
            <w:vAlign w:val="bottom"/>
          </w:tcPr>
          <w:p>
            <w:pPr>
              <w:jc w:val="right"/>
              <w:ind w:right="124"/>
              <w:spacing w:after="0" w:line="169" w:lineRule="exact"/>
              <w:rPr>
                <w:sz w:val="20"/>
                <w:szCs w:val="20"/>
                <w:color w:val="auto"/>
              </w:rPr>
            </w:pPr>
            <w:r>
              <w:rPr>
                <w:rFonts w:ascii="Arial" w:cs="Arial" w:eastAsia="Arial" w:hAnsi="Arial"/>
                <w:sz w:val="15"/>
                <w:szCs w:val="15"/>
                <w:color w:val="auto"/>
              </w:rPr>
              <w:t>618,000</w:t>
            </w:r>
          </w:p>
        </w:tc>
        <w:tc>
          <w:tcPr>
            <w:tcW w:w="820" w:type="dxa"/>
            <w:vAlign w:val="bottom"/>
          </w:tcPr>
          <w:p>
            <w:pPr>
              <w:spacing w:after="0"/>
              <w:rPr>
                <w:sz w:val="18"/>
                <w:szCs w:val="18"/>
                <w:color w:val="auto"/>
              </w:rPr>
            </w:pPr>
          </w:p>
        </w:tc>
        <w:tc>
          <w:tcPr>
            <w:tcW w:w="1040" w:type="dxa"/>
            <w:vAlign w:val="bottom"/>
          </w:tcPr>
          <w:p>
            <w:pPr>
              <w:jc w:val="right"/>
              <w:ind w:right="144"/>
              <w:spacing w:after="0" w:line="169" w:lineRule="exact"/>
              <w:rPr>
                <w:sz w:val="20"/>
                <w:szCs w:val="20"/>
                <w:color w:val="auto"/>
              </w:rPr>
            </w:pPr>
            <w:r>
              <w:rPr>
                <w:rFonts w:ascii="Arial" w:cs="Arial" w:eastAsia="Arial" w:hAnsi="Arial"/>
                <w:sz w:val="15"/>
                <w:szCs w:val="15"/>
                <w:color w:val="auto"/>
              </w:rPr>
              <w:t>2,956,598</w:t>
            </w:r>
          </w:p>
        </w:tc>
        <w:tc>
          <w:tcPr>
            <w:tcW w:w="920" w:type="dxa"/>
            <w:vAlign w:val="bottom"/>
          </w:tcPr>
          <w:p>
            <w:pPr>
              <w:spacing w:after="0"/>
              <w:rPr>
                <w:sz w:val="18"/>
                <w:szCs w:val="18"/>
                <w:color w:val="auto"/>
              </w:rPr>
            </w:pPr>
          </w:p>
        </w:tc>
        <w:tc>
          <w:tcPr>
            <w:tcW w:w="1360" w:type="dxa"/>
            <w:vAlign w:val="bottom"/>
          </w:tcPr>
          <w:p>
            <w:pPr>
              <w:jc w:val="right"/>
              <w:ind w:right="84"/>
              <w:spacing w:after="0" w:line="169" w:lineRule="exact"/>
              <w:rPr>
                <w:sz w:val="20"/>
                <w:szCs w:val="20"/>
                <w:color w:val="auto"/>
              </w:rPr>
            </w:pPr>
            <w:r>
              <w:rPr>
                <w:rFonts w:ascii="Arial" w:cs="Arial" w:eastAsia="Arial" w:hAnsi="Arial"/>
                <w:sz w:val="15"/>
                <w:szCs w:val="15"/>
                <w:color w:val="auto"/>
              </w:rPr>
              <w:t>0</w:t>
            </w:r>
          </w:p>
        </w:tc>
        <w:tc>
          <w:tcPr>
            <w:tcW w:w="1540" w:type="dxa"/>
            <w:vAlign w:val="bottom"/>
          </w:tcPr>
          <w:p>
            <w:pPr>
              <w:jc w:val="right"/>
              <w:ind w:right="108"/>
              <w:spacing w:after="0" w:line="170" w:lineRule="exact"/>
              <w:rPr>
                <w:sz w:val="20"/>
                <w:szCs w:val="20"/>
                <w:color w:val="auto"/>
              </w:rPr>
            </w:pPr>
            <w:r>
              <w:rPr>
                <w:rFonts w:ascii="Arial" w:cs="Arial" w:eastAsia="Arial" w:hAnsi="Arial"/>
                <w:sz w:val="12"/>
                <w:szCs w:val="12"/>
                <w:color w:val="auto"/>
              </w:rPr>
              <w:t>9,275</w:t>
            </w:r>
            <w:r>
              <w:rPr>
                <w:rFonts w:ascii="Arial" w:cs="Arial" w:eastAsia="Arial" w:hAnsi="Arial"/>
                <w:sz w:val="19"/>
                <w:szCs w:val="19"/>
                <w:color w:val="auto"/>
                <w:vertAlign w:val="superscript"/>
              </w:rPr>
              <w:t>(5)</w:t>
            </w:r>
          </w:p>
        </w:tc>
        <w:tc>
          <w:tcPr>
            <w:tcW w:w="880" w:type="dxa"/>
            <w:vAlign w:val="bottom"/>
            <w:tcBorders>
              <w:bottom w:val="single" w:sz="8" w:color="E5ECF1"/>
            </w:tcBorders>
            <w:shd w:val="clear" w:color="auto" w:fill="E5ECF1"/>
          </w:tcPr>
          <w:p>
            <w:pPr>
              <w:jc w:val="right"/>
              <w:spacing w:after="0" w:line="169" w:lineRule="exact"/>
              <w:rPr>
                <w:sz w:val="20"/>
                <w:szCs w:val="20"/>
                <w:color w:val="auto"/>
              </w:rPr>
            </w:pPr>
            <w:r>
              <w:rPr>
                <w:rFonts w:ascii="Arial" w:cs="Arial" w:eastAsia="Arial" w:hAnsi="Arial"/>
                <w:sz w:val="15"/>
                <w:szCs w:val="15"/>
                <w:color w:val="auto"/>
              </w:rPr>
              <w:t>3,583,873</w:t>
            </w:r>
          </w:p>
        </w:tc>
        <w:tc>
          <w:tcPr>
            <w:tcW w:w="0" w:type="dxa"/>
            <w:vAlign w:val="bottom"/>
          </w:tcPr>
          <w:p>
            <w:pPr>
              <w:spacing w:after="0"/>
              <w:rPr>
                <w:sz w:val="1"/>
                <w:szCs w:val="1"/>
                <w:color w:val="auto"/>
              </w:rPr>
            </w:pPr>
          </w:p>
        </w:tc>
      </w:tr>
      <w:tr>
        <w:trPr>
          <w:trHeight w:val="169"/>
        </w:trPr>
        <w:tc>
          <w:tcPr>
            <w:tcW w:w="3080" w:type="dxa"/>
            <w:vAlign w:val="bottom"/>
          </w:tcPr>
          <w:p>
            <w:pPr>
              <w:ind w:left="60"/>
              <w:spacing w:after="0" w:line="141" w:lineRule="exact"/>
              <w:rPr>
                <w:sz w:val="20"/>
                <w:szCs w:val="20"/>
                <w:color w:val="auto"/>
              </w:rPr>
            </w:pPr>
            <w:r>
              <w:rPr>
                <w:rFonts w:ascii="Arial" w:cs="Arial" w:eastAsia="Arial" w:hAnsi="Arial"/>
                <w:sz w:val="15"/>
                <w:szCs w:val="15"/>
                <w:i w:val="1"/>
                <w:iCs w:val="1"/>
                <w:color w:val="auto"/>
              </w:rPr>
              <w:t>Chief Commercial Officer</w:t>
            </w:r>
          </w:p>
        </w:tc>
        <w:tc>
          <w:tcPr>
            <w:tcW w:w="700" w:type="dxa"/>
            <w:vAlign w:val="bottom"/>
            <w:tcBorders>
              <w:top w:val="single" w:sz="8" w:color="002F4D"/>
              <w:bottom w:val="single" w:sz="8" w:color="002F4D"/>
            </w:tcBorders>
          </w:tcPr>
          <w:p>
            <w:pPr>
              <w:jc w:val="right"/>
              <w:ind w:right="84"/>
              <w:spacing w:after="0" w:line="169" w:lineRule="exact"/>
              <w:rPr>
                <w:sz w:val="20"/>
                <w:szCs w:val="20"/>
                <w:color w:val="auto"/>
              </w:rPr>
            </w:pPr>
            <w:r>
              <w:rPr>
                <w:rFonts w:ascii="Arial" w:cs="Arial" w:eastAsia="Arial" w:hAnsi="Arial"/>
                <w:sz w:val="15"/>
                <w:szCs w:val="15"/>
                <w:color w:val="auto"/>
              </w:rPr>
              <w:t>2024</w:t>
            </w:r>
          </w:p>
        </w:tc>
        <w:tc>
          <w:tcPr>
            <w:tcW w:w="900" w:type="dxa"/>
            <w:vAlign w:val="bottom"/>
            <w:tcBorders>
              <w:top w:val="single" w:sz="8" w:color="002F4D"/>
              <w:bottom w:val="single" w:sz="8" w:color="002F4D"/>
            </w:tcBorders>
          </w:tcPr>
          <w:p>
            <w:pPr>
              <w:jc w:val="right"/>
              <w:ind w:right="124"/>
              <w:spacing w:after="0" w:line="169" w:lineRule="exact"/>
              <w:rPr>
                <w:sz w:val="20"/>
                <w:szCs w:val="20"/>
                <w:color w:val="auto"/>
              </w:rPr>
            </w:pPr>
            <w:r>
              <w:rPr>
                <w:rFonts w:ascii="Arial" w:cs="Arial" w:eastAsia="Arial" w:hAnsi="Arial"/>
                <w:sz w:val="15"/>
                <w:szCs w:val="15"/>
                <w:color w:val="auto"/>
              </w:rPr>
              <w:t>600,000</w:t>
            </w:r>
          </w:p>
        </w:tc>
        <w:tc>
          <w:tcPr>
            <w:tcW w:w="820" w:type="dxa"/>
            <w:vAlign w:val="bottom"/>
            <w:tcBorders>
              <w:top w:val="single" w:sz="8" w:color="002F4D"/>
              <w:bottom w:val="single" w:sz="8" w:color="002F4D"/>
            </w:tcBorders>
          </w:tcPr>
          <w:p>
            <w:pPr>
              <w:spacing w:after="0"/>
              <w:rPr>
                <w:sz w:val="14"/>
                <w:szCs w:val="14"/>
                <w:color w:val="auto"/>
              </w:rPr>
            </w:pPr>
          </w:p>
        </w:tc>
        <w:tc>
          <w:tcPr>
            <w:tcW w:w="1040" w:type="dxa"/>
            <w:vAlign w:val="bottom"/>
            <w:tcBorders>
              <w:top w:val="single" w:sz="8" w:color="002F4D"/>
              <w:bottom w:val="single" w:sz="8" w:color="002F4D"/>
            </w:tcBorders>
          </w:tcPr>
          <w:p>
            <w:pPr>
              <w:jc w:val="right"/>
              <w:ind w:right="144"/>
              <w:spacing w:after="0" w:line="169" w:lineRule="exact"/>
              <w:rPr>
                <w:sz w:val="20"/>
                <w:szCs w:val="20"/>
                <w:color w:val="auto"/>
              </w:rPr>
            </w:pPr>
            <w:r>
              <w:rPr>
                <w:rFonts w:ascii="Arial" w:cs="Arial" w:eastAsia="Arial" w:hAnsi="Arial"/>
                <w:sz w:val="15"/>
                <w:szCs w:val="15"/>
                <w:color w:val="auto"/>
              </w:rPr>
              <w:t>2,597,255</w:t>
            </w:r>
          </w:p>
        </w:tc>
        <w:tc>
          <w:tcPr>
            <w:tcW w:w="920" w:type="dxa"/>
            <w:vAlign w:val="bottom"/>
            <w:tcBorders>
              <w:top w:val="single" w:sz="8" w:color="002F4D"/>
              <w:bottom w:val="single" w:sz="8" w:color="002F4D"/>
            </w:tcBorders>
          </w:tcPr>
          <w:p>
            <w:pPr>
              <w:spacing w:after="0"/>
              <w:rPr>
                <w:sz w:val="14"/>
                <w:szCs w:val="14"/>
                <w:color w:val="auto"/>
              </w:rPr>
            </w:pPr>
          </w:p>
        </w:tc>
        <w:tc>
          <w:tcPr>
            <w:tcW w:w="1360" w:type="dxa"/>
            <w:vAlign w:val="bottom"/>
            <w:tcBorders>
              <w:top w:val="single" w:sz="8" w:color="002F4D"/>
              <w:bottom w:val="single" w:sz="8" w:color="002F4D"/>
            </w:tcBorders>
          </w:tcPr>
          <w:p>
            <w:pPr>
              <w:jc w:val="right"/>
              <w:ind w:right="84"/>
              <w:spacing w:after="0" w:line="169" w:lineRule="exact"/>
              <w:rPr>
                <w:sz w:val="20"/>
                <w:szCs w:val="20"/>
                <w:color w:val="auto"/>
              </w:rPr>
            </w:pPr>
            <w:r>
              <w:rPr>
                <w:rFonts w:ascii="Arial" w:cs="Arial" w:eastAsia="Arial" w:hAnsi="Arial"/>
                <w:sz w:val="15"/>
                <w:szCs w:val="15"/>
                <w:color w:val="auto"/>
              </w:rPr>
              <w:t>114,942</w:t>
            </w:r>
          </w:p>
        </w:tc>
        <w:tc>
          <w:tcPr>
            <w:tcW w:w="1540" w:type="dxa"/>
            <w:vAlign w:val="bottom"/>
            <w:tcBorders>
              <w:top w:val="single" w:sz="8" w:color="002F4D"/>
              <w:bottom w:val="single" w:sz="8" w:color="002F4D"/>
            </w:tcBorders>
          </w:tcPr>
          <w:p>
            <w:pPr>
              <w:jc w:val="right"/>
              <w:ind w:right="268"/>
              <w:spacing w:after="0" w:line="169" w:lineRule="exact"/>
              <w:rPr>
                <w:sz w:val="20"/>
                <w:szCs w:val="20"/>
                <w:color w:val="auto"/>
              </w:rPr>
            </w:pPr>
            <w:r>
              <w:rPr>
                <w:rFonts w:ascii="Arial" w:cs="Arial" w:eastAsia="Arial" w:hAnsi="Arial"/>
                <w:sz w:val="15"/>
                <w:szCs w:val="15"/>
                <w:color w:val="auto"/>
              </w:rPr>
              <w:t>13,775</w:t>
            </w:r>
          </w:p>
        </w:tc>
        <w:tc>
          <w:tcPr>
            <w:tcW w:w="880" w:type="dxa"/>
            <w:vAlign w:val="bottom"/>
            <w:tcBorders>
              <w:top w:val="single" w:sz="8" w:color="002F4D"/>
              <w:bottom w:val="single" w:sz="8" w:color="002F4D"/>
            </w:tcBorders>
            <w:shd w:val="clear" w:color="auto" w:fill="E5ECF1"/>
          </w:tcPr>
          <w:p>
            <w:pPr>
              <w:jc w:val="right"/>
              <w:spacing w:after="0" w:line="169" w:lineRule="exact"/>
              <w:rPr>
                <w:sz w:val="20"/>
                <w:szCs w:val="20"/>
                <w:color w:val="auto"/>
              </w:rPr>
            </w:pPr>
            <w:r>
              <w:rPr>
                <w:rFonts w:ascii="Arial" w:cs="Arial" w:eastAsia="Arial" w:hAnsi="Arial"/>
                <w:sz w:val="15"/>
                <w:szCs w:val="15"/>
                <w:color w:val="auto"/>
              </w:rPr>
              <w:t>3,325,972</w:t>
            </w:r>
          </w:p>
        </w:tc>
        <w:tc>
          <w:tcPr>
            <w:tcW w:w="0" w:type="dxa"/>
            <w:vAlign w:val="bottom"/>
          </w:tcPr>
          <w:p>
            <w:pPr>
              <w:spacing w:after="0"/>
              <w:rPr>
                <w:sz w:val="1"/>
                <w:szCs w:val="1"/>
                <w:color w:val="auto"/>
              </w:rPr>
            </w:pPr>
          </w:p>
        </w:tc>
      </w:tr>
      <w:tr>
        <w:trPr>
          <w:trHeight w:val="169"/>
        </w:trPr>
        <w:tc>
          <w:tcPr>
            <w:tcW w:w="3080" w:type="dxa"/>
            <w:vAlign w:val="bottom"/>
            <w:tcBorders>
              <w:bottom w:val="single" w:sz="8" w:color="002F4D"/>
            </w:tcBorders>
          </w:tcPr>
          <w:p>
            <w:pPr>
              <w:spacing w:after="0"/>
              <w:rPr>
                <w:sz w:val="14"/>
                <w:szCs w:val="14"/>
                <w:color w:val="auto"/>
              </w:rPr>
            </w:pPr>
          </w:p>
        </w:tc>
        <w:tc>
          <w:tcPr>
            <w:tcW w:w="700" w:type="dxa"/>
            <w:vAlign w:val="bottom"/>
            <w:tcBorders>
              <w:bottom w:val="single" w:sz="8" w:color="002F4D"/>
            </w:tcBorders>
          </w:tcPr>
          <w:p>
            <w:pPr>
              <w:jc w:val="right"/>
              <w:ind w:right="84"/>
              <w:spacing w:after="0" w:line="169" w:lineRule="exact"/>
              <w:rPr>
                <w:sz w:val="20"/>
                <w:szCs w:val="20"/>
                <w:color w:val="auto"/>
              </w:rPr>
            </w:pPr>
            <w:r>
              <w:rPr>
                <w:rFonts w:ascii="Arial" w:cs="Arial" w:eastAsia="Arial" w:hAnsi="Arial"/>
                <w:sz w:val="15"/>
                <w:szCs w:val="15"/>
                <w:color w:val="auto"/>
              </w:rPr>
              <w:t>2023</w:t>
            </w:r>
          </w:p>
        </w:tc>
        <w:tc>
          <w:tcPr>
            <w:tcW w:w="900" w:type="dxa"/>
            <w:vAlign w:val="bottom"/>
            <w:tcBorders>
              <w:bottom w:val="single" w:sz="8" w:color="002F4D"/>
            </w:tcBorders>
          </w:tcPr>
          <w:p>
            <w:pPr>
              <w:jc w:val="right"/>
              <w:ind w:right="124"/>
              <w:spacing w:after="0" w:line="169" w:lineRule="exact"/>
              <w:rPr>
                <w:sz w:val="20"/>
                <w:szCs w:val="20"/>
                <w:color w:val="auto"/>
              </w:rPr>
            </w:pPr>
            <w:r>
              <w:rPr>
                <w:rFonts w:ascii="Arial" w:cs="Arial" w:eastAsia="Arial" w:hAnsi="Arial"/>
                <w:sz w:val="15"/>
                <w:szCs w:val="15"/>
                <w:color w:val="auto"/>
              </w:rPr>
              <w:t>575,000</w:t>
            </w:r>
          </w:p>
        </w:tc>
        <w:tc>
          <w:tcPr>
            <w:tcW w:w="820" w:type="dxa"/>
            <w:vAlign w:val="bottom"/>
            <w:tcBorders>
              <w:bottom w:val="single" w:sz="8" w:color="002F4D"/>
            </w:tcBorders>
          </w:tcPr>
          <w:p>
            <w:pPr>
              <w:spacing w:after="0"/>
              <w:rPr>
                <w:sz w:val="14"/>
                <w:szCs w:val="14"/>
                <w:color w:val="auto"/>
              </w:rPr>
            </w:pPr>
          </w:p>
        </w:tc>
        <w:tc>
          <w:tcPr>
            <w:tcW w:w="1040" w:type="dxa"/>
            <w:vAlign w:val="bottom"/>
            <w:tcBorders>
              <w:bottom w:val="single" w:sz="8" w:color="002F4D"/>
            </w:tcBorders>
          </w:tcPr>
          <w:p>
            <w:pPr>
              <w:jc w:val="right"/>
              <w:ind w:right="144"/>
              <w:spacing w:after="0" w:line="169" w:lineRule="exact"/>
              <w:rPr>
                <w:sz w:val="20"/>
                <w:szCs w:val="20"/>
                <w:color w:val="auto"/>
              </w:rPr>
            </w:pPr>
            <w:r>
              <w:rPr>
                <w:rFonts w:ascii="Arial" w:cs="Arial" w:eastAsia="Arial" w:hAnsi="Arial"/>
                <w:sz w:val="15"/>
                <w:szCs w:val="15"/>
                <w:color w:val="auto"/>
              </w:rPr>
              <w:t>2,396,342</w:t>
            </w:r>
          </w:p>
        </w:tc>
        <w:tc>
          <w:tcPr>
            <w:tcW w:w="920" w:type="dxa"/>
            <w:vAlign w:val="bottom"/>
            <w:tcBorders>
              <w:bottom w:val="single" w:sz="8" w:color="002F4D"/>
            </w:tcBorders>
          </w:tcPr>
          <w:p>
            <w:pPr>
              <w:spacing w:after="0"/>
              <w:rPr>
                <w:sz w:val="14"/>
                <w:szCs w:val="14"/>
                <w:color w:val="auto"/>
              </w:rPr>
            </w:pPr>
          </w:p>
        </w:tc>
        <w:tc>
          <w:tcPr>
            <w:tcW w:w="1360" w:type="dxa"/>
            <w:vAlign w:val="bottom"/>
            <w:tcBorders>
              <w:bottom w:val="single" w:sz="8" w:color="002F4D"/>
            </w:tcBorders>
          </w:tcPr>
          <w:p>
            <w:pPr>
              <w:jc w:val="right"/>
              <w:ind w:right="84"/>
              <w:spacing w:after="0" w:line="169" w:lineRule="exact"/>
              <w:rPr>
                <w:sz w:val="20"/>
                <w:szCs w:val="20"/>
                <w:color w:val="auto"/>
              </w:rPr>
            </w:pPr>
            <w:r>
              <w:rPr>
                <w:rFonts w:ascii="Arial" w:cs="Arial" w:eastAsia="Arial" w:hAnsi="Arial"/>
                <w:sz w:val="15"/>
                <w:szCs w:val="15"/>
                <w:color w:val="auto"/>
              </w:rPr>
              <w:t>767,050</w:t>
            </w:r>
          </w:p>
        </w:tc>
        <w:tc>
          <w:tcPr>
            <w:tcW w:w="1540" w:type="dxa"/>
            <w:vAlign w:val="bottom"/>
            <w:tcBorders>
              <w:bottom w:val="single" w:sz="8" w:color="002F4D"/>
            </w:tcBorders>
          </w:tcPr>
          <w:p>
            <w:pPr>
              <w:jc w:val="right"/>
              <w:ind w:right="268"/>
              <w:spacing w:after="0" w:line="169" w:lineRule="exact"/>
              <w:rPr>
                <w:sz w:val="20"/>
                <w:szCs w:val="20"/>
                <w:color w:val="auto"/>
              </w:rPr>
            </w:pPr>
            <w:r>
              <w:rPr>
                <w:rFonts w:ascii="Arial" w:cs="Arial" w:eastAsia="Arial" w:hAnsi="Arial"/>
                <w:sz w:val="15"/>
                <w:szCs w:val="15"/>
                <w:color w:val="auto"/>
              </w:rPr>
              <w:t>13,525</w:t>
            </w:r>
          </w:p>
        </w:tc>
        <w:tc>
          <w:tcPr>
            <w:tcW w:w="880" w:type="dxa"/>
            <w:vAlign w:val="bottom"/>
            <w:tcBorders>
              <w:bottom w:val="single" w:sz="8" w:color="002F4D"/>
            </w:tcBorders>
            <w:shd w:val="clear" w:color="auto" w:fill="E5ECF1"/>
          </w:tcPr>
          <w:p>
            <w:pPr>
              <w:jc w:val="right"/>
              <w:spacing w:after="0" w:line="169" w:lineRule="exact"/>
              <w:rPr>
                <w:sz w:val="20"/>
                <w:szCs w:val="20"/>
                <w:color w:val="auto"/>
              </w:rPr>
            </w:pPr>
            <w:r>
              <w:rPr>
                <w:rFonts w:ascii="Arial" w:cs="Arial" w:eastAsia="Arial" w:hAnsi="Arial"/>
                <w:sz w:val="15"/>
                <w:szCs w:val="15"/>
                <w:color w:val="auto"/>
              </w:rPr>
              <w:t>3,751,917</w:t>
            </w:r>
          </w:p>
        </w:tc>
        <w:tc>
          <w:tcPr>
            <w:tcW w:w="0" w:type="dxa"/>
            <w:vAlign w:val="bottom"/>
          </w:tcPr>
          <w:p>
            <w:pPr>
              <w:spacing w:after="0"/>
              <w:rPr>
                <w:sz w:val="1"/>
                <w:szCs w:val="1"/>
                <w:color w:val="auto"/>
              </w:rPr>
            </w:pPr>
          </w:p>
        </w:tc>
      </w:tr>
      <w:tr>
        <w:trPr>
          <w:trHeight w:val="207"/>
        </w:trPr>
        <w:tc>
          <w:tcPr>
            <w:tcW w:w="3080" w:type="dxa"/>
            <w:vAlign w:val="bottom"/>
          </w:tcPr>
          <w:p>
            <w:pPr>
              <w:ind w:left="60"/>
              <w:spacing w:after="0" w:line="169" w:lineRule="exact"/>
              <w:rPr>
                <w:sz w:val="20"/>
                <w:szCs w:val="20"/>
                <w:color w:val="auto"/>
              </w:rPr>
            </w:pPr>
            <w:r>
              <w:rPr>
                <w:rFonts w:ascii="Arial" w:cs="Arial" w:eastAsia="Arial" w:hAnsi="Arial"/>
                <w:sz w:val="15"/>
                <w:szCs w:val="15"/>
                <w:b w:val="1"/>
                <w:bCs w:val="1"/>
                <w:color w:val="auto"/>
              </w:rPr>
              <w:t>Matthew R. Fuchsen</w:t>
            </w:r>
          </w:p>
        </w:tc>
        <w:tc>
          <w:tcPr>
            <w:tcW w:w="700" w:type="dxa"/>
            <w:vAlign w:val="bottom"/>
          </w:tcPr>
          <w:p>
            <w:pPr>
              <w:jc w:val="right"/>
              <w:ind w:right="84"/>
              <w:spacing w:after="0" w:line="169" w:lineRule="exact"/>
              <w:rPr>
                <w:sz w:val="20"/>
                <w:szCs w:val="20"/>
                <w:color w:val="auto"/>
              </w:rPr>
            </w:pPr>
            <w:r>
              <w:rPr>
                <w:rFonts w:ascii="Arial" w:cs="Arial" w:eastAsia="Arial" w:hAnsi="Arial"/>
                <w:sz w:val="15"/>
                <w:szCs w:val="15"/>
                <w:color w:val="auto"/>
              </w:rPr>
              <w:t>2025</w:t>
            </w:r>
          </w:p>
        </w:tc>
        <w:tc>
          <w:tcPr>
            <w:tcW w:w="900" w:type="dxa"/>
            <w:vAlign w:val="bottom"/>
          </w:tcPr>
          <w:p>
            <w:pPr>
              <w:jc w:val="right"/>
              <w:ind w:right="124"/>
              <w:spacing w:after="0" w:line="169" w:lineRule="exact"/>
              <w:rPr>
                <w:sz w:val="20"/>
                <w:szCs w:val="20"/>
                <w:color w:val="auto"/>
              </w:rPr>
            </w:pPr>
            <w:r>
              <w:rPr>
                <w:rFonts w:ascii="Arial" w:cs="Arial" w:eastAsia="Arial" w:hAnsi="Arial"/>
                <w:sz w:val="15"/>
                <w:szCs w:val="15"/>
                <w:color w:val="auto"/>
              </w:rPr>
              <w:t>432,600</w:t>
            </w:r>
          </w:p>
        </w:tc>
        <w:tc>
          <w:tcPr>
            <w:tcW w:w="820" w:type="dxa"/>
            <w:vAlign w:val="bottom"/>
          </w:tcPr>
          <w:p>
            <w:pPr>
              <w:spacing w:after="0"/>
              <w:rPr>
                <w:sz w:val="18"/>
                <w:szCs w:val="18"/>
                <w:color w:val="auto"/>
              </w:rPr>
            </w:pPr>
          </w:p>
        </w:tc>
        <w:tc>
          <w:tcPr>
            <w:tcW w:w="1040" w:type="dxa"/>
            <w:vAlign w:val="bottom"/>
          </w:tcPr>
          <w:p>
            <w:pPr>
              <w:jc w:val="right"/>
              <w:ind w:right="144"/>
              <w:spacing w:after="0" w:line="169" w:lineRule="exact"/>
              <w:rPr>
                <w:sz w:val="20"/>
                <w:szCs w:val="20"/>
                <w:color w:val="auto"/>
              </w:rPr>
            </w:pPr>
            <w:r>
              <w:rPr>
                <w:rFonts w:ascii="Arial" w:cs="Arial" w:eastAsia="Arial" w:hAnsi="Arial"/>
                <w:sz w:val="15"/>
                <w:szCs w:val="15"/>
                <w:color w:val="auto"/>
              </w:rPr>
              <w:t>1,620,370</w:t>
            </w:r>
          </w:p>
        </w:tc>
        <w:tc>
          <w:tcPr>
            <w:tcW w:w="920" w:type="dxa"/>
            <w:vAlign w:val="bottom"/>
          </w:tcPr>
          <w:p>
            <w:pPr>
              <w:spacing w:after="0"/>
              <w:rPr>
                <w:sz w:val="18"/>
                <w:szCs w:val="18"/>
                <w:color w:val="auto"/>
              </w:rPr>
            </w:pPr>
          </w:p>
        </w:tc>
        <w:tc>
          <w:tcPr>
            <w:tcW w:w="1360" w:type="dxa"/>
            <w:vAlign w:val="bottom"/>
          </w:tcPr>
          <w:p>
            <w:pPr>
              <w:jc w:val="right"/>
              <w:ind w:right="84"/>
              <w:spacing w:after="0" w:line="169" w:lineRule="exact"/>
              <w:rPr>
                <w:sz w:val="20"/>
                <w:szCs w:val="20"/>
                <w:color w:val="auto"/>
              </w:rPr>
            </w:pPr>
            <w:r>
              <w:rPr>
                <w:rFonts w:ascii="Arial" w:cs="Arial" w:eastAsia="Arial" w:hAnsi="Arial"/>
                <w:sz w:val="15"/>
                <w:szCs w:val="15"/>
                <w:color w:val="auto"/>
              </w:rPr>
              <w:t>0</w:t>
            </w:r>
          </w:p>
        </w:tc>
        <w:tc>
          <w:tcPr>
            <w:tcW w:w="1540" w:type="dxa"/>
            <w:vAlign w:val="bottom"/>
          </w:tcPr>
          <w:p>
            <w:pPr>
              <w:jc w:val="right"/>
              <w:ind w:right="108"/>
              <w:spacing w:after="0" w:line="170" w:lineRule="exact"/>
              <w:rPr>
                <w:sz w:val="20"/>
                <w:szCs w:val="20"/>
                <w:color w:val="auto"/>
              </w:rPr>
            </w:pPr>
            <w:r>
              <w:rPr>
                <w:rFonts w:ascii="Arial" w:cs="Arial" w:eastAsia="Arial" w:hAnsi="Arial"/>
                <w:sz w:val="12"/>
                <w:szCs w:val="12"/>
                <w:color w:val="auto"/>
              </w:rPr>
              <w:t>12,245</w:t>
            </w:r>
            <w:r>
              <w:rPr>
                <w:rFonts w:ascii="Arial" w:cs="Arial" w:eastAsia="Arial" w:hAnsi="Arial"/>
                <w:sz w:val="19"/>
                <w:szCs w:val="19"/>
                <w:color w:val="auto"/>
                <w:vertAlign w:val="superscript"/>
              </w:rPr>
              <w:t>(6)</w:t>
            </w:r>
          </w:p>
        </w:tc>
        <w:tc>
          <w:tcPr>
            <w:tcW w:w="880" w:type="dxa"/>
            <w:vAlign w:val="bottom"/>
            <w:tcBorders>
              <w:bottom w:val="single" w:sz="8" w:color="E5ECF1"/>
            </w:tcBorders>
            <w:shd w:val="clear" w:color="auto" w:fill="E5ECF1"/>
          </w:tcPr>
          <w:p>
            <w:pPr>
              <w:jc w:val="right"/>
              <w:spacing w:after="0" w:line="169" w:lineRule="exact"/>
              <w:rPr>
                <w:sz w:val="20"/>
                <w:szCs w:val="20"/>
                <w:color w:val="auto"/>
              </w:rPr>
            </w:pPr>
            <w:r>
              <w:rPr>
                <w:rFonts w:ascii="Arial" w:cs="Arial" w:eastAsia="Arial" w:hAnsi="Arial"/>
                <w:sz w:val="15"/>
                <w:szCs w:val="15"/>
                <w:color w:val="auto"/>
              </w:rPr>
              <w:t>2,065,215</w:t>
            </w:r>
          </w:p>
        </w:tc>
        <w:tc>
          <w:tcPr>
            <w:tcW w:w="0" w:type="dxa"/>
            <w:vAlign w:val="bottom"/>
          </w:tcPr>
          <w:p>
            <w:pPr>
              <w:spacing w:after="0"/>
              <w:rPr>
                <w:sz w:val="1"/>
                <w:szCs w:val="1"/>
                <w:color w:val="auto"/>
              </w:rPr>
            </w:pPr>
          </w:p>
        </w:tc>
      </w:tr>
      <w:tr>
        <w:trPr>
          <w:trHeight w:val="169"/>
        </w:trPr>
        <w:tc>
          <w:tcPr>
            <w:tcW w:w="3080" w:type="dxa"/>
            <w:vAlign w:val="bottom"/>
          </w:tcPr>
          <w:p>
            <w:pPr>
              <w:ind w:left="60"/>
              <w:spacing w:after="0" w:line="141" w:lineRule="exact"/>
              <w:rPr>
                <w:sz w:val="20"/>
                <w:szCs w:val="20"/>
                <w:color w:val="auto"/>
              </w:rPr>
            </w:pPr>
            <w:r>
              <w:rPr>
                <w:rFonts w:ascii="Arial" w:cs="Arial" w:eastAsia="Arial" w:hAnsi="Arial"/>
                <w:sz w:val="15"/>
                <w:szCs w:val="15"/>
                <w:i w:val="1"/>
                <w:iCs w:val="1"/>
                <w:color w:val="auto"/>
              </w:rPr>
              <w:t>Chief Development Officer</w:t>
            </w:r>
          </w:p>
        </w:tc>
        <w:tc>
          <w:tcPr>
            <w:tcW w:w="700" w:type="dxa"/>
            <w:vAlign w:val="bottom"/>
            <w:tcBorders>
              <w:top w:val="single" w:sz="8" w:color="002F4D"/>
              <w:bottom w:val="single" w:sz="8" w:color="002F4D"/>
            </w:tcBorders>
          </w:tcPr>
          <w:p>
            <w:pPr>
              <w:jc w:val="right"/>
              <w:ind w:right="84"/>
              <w:spacing w:after="0" w:line="169" w:lineRule="exact"/>
              <w:rPr>
                <w:sz w:val="20"/>
                <w:szCs w:val="20"/>
                <w:color w:val="auto"/>
              </w:rPr>
            </w:pPr>
            <w:r>
              <w:rPr>
                <w:rFonts w:ascii="Arial" w:cs="Arial" w:eastAsia="Arial" w:hAnsi="Arial"/>
                <w:sz w:val="15"/>
                <w:szCs w:val="15"/>
                <w:color w:val="auto"/>
              </w:rPr>
              <w:t>2024</w:t>
            </w:r>
          </w:p>
        </w:tc>
        <w:tc>
          <w:tcPr>
            <w:tcW w:w="900" w:type="dxa"/>
            <w:vAlign w:val="bottom"/>
            <w:tcBorders>
              <w:top w:val="single" w:sz="8" w:color="002F4D"/>
              <w:bottom w:val="single" w:sz="8" w:color="002F4D"/>
            </w:tcBorders>
          </w:tcPr>
          <w:p>
            <w:pPr>
              <w:jc w:val="right"/>
              <w:ind w:right="124"/>
              <w:spacing w:after="0" w:line="169" w:lineRule="exact"/>
              <w:rPr>
                <w:sz w:val="20"/>
                <w:szCs w:val="20"/>
                <w:color w:val="auto"/>
              </w:rPr>
            </w:pPr>
            <w:r>
              <w:rPr>
                <w:rFonts w:ascii="Arial" w:cs="Arial" w:eastAsia="Arial" w:hAnsi="Arial"/>
                <w:sz w:val="15"/>
                <w:szCs w:val="15"/>
                <w:color w:val="auto"/>
              </w:rPr>
              <w:t>420,000</w:t>
            </w:r>
          </w:p>
        </w:tc>
        <w:tc>
          <w:tcPr>
            <w:tcW w:w="820" w:type="dxa"/>
            <w:vAlign w:val="bottom"/>
            <w:tcBorders>
              <w:top w:val="single" w:sz="8" w:color="002F4D"/>
              <w:bottom w:val="single" w:sz="8" w:color="002F4D"/>
            </w:tcBorders>
          </w:tcPr>
          <w:p>
            <w:pPr>
              <w:spacing w:after="0"/>
              <w:rPr>
                <w:sz w:val="14"/>
                <w:szCs w:val="14"/>
                <w:color w:val="auto"/>
              </w:rPr>
            </w:pPr>
          </w:p>
        </w:tc>
        <w:tc>
          <w:tcPr>
            <w:tcW w:w="1040" w:type="dxa"/>
            <w:vAlign w:val="bottom"/>
            <w:tcBorders>
              <w:top w:val="single" w:sz="8" w:color="002F4D"/>
              <w:bottom w:val="single" w:sz="8" w:color="002F4D"/>
            </w:tcBorders>
          </w:tcPr>
          <w:p>
            <w:pPr>
              <w:jc w:val="right"/>
              <w:ind w:right="144"/>
              <w:spacing w:after="0" w:line="169" w:lineRule="exact"/>
              <w:rPr>
                <w:sz w:val="20"/>
                <w:szCs w:val="20"/>
                <w:color w:val="auto"/>
              </w:rPr>
            </w:pPr>
            <w:r>
              <w:rPr>
                <w:rFonts w:ascii="Arial" w:cs="Arial" w:eastAsia="Arial" w:hAnsi="Arial"/>
                <w:sz w:val="15"/>
                <w:szCs w:val="15"/>
                <w:color w:val="auto"/>
              </w:rPr>
              <w:t>1,423,516</w:t>
            </w:r>
          </w:p>
        </w:tc>
        <w:tc>
          <w:tcPr>
            <w:tcW w:w="920" w:type="dxa"/>
            <w:vAlign w:val="bottom"/>
            <w:tcBorders>
              <w:top w:val="single" w:sz="8" w:color="002F4D"/>
              <w:bottom w:val="single" w:sz="8" w:color="002F4D"/>
            </w:tcBorders>
          </w:tcPr>
          <w:p>
            <w:pPr>
              <w:spacing w:after="0"/>
              <w:rPr>
                <w:sz w:val="14"/>
                <w:szCs w:val="14"/>
                <w:color w:val="auto"/>
              </w:rPr>
            </w:pPr>
          </w:p>
        </w:tc>
        <w:tc>
          <w:tcPr>
            <w:tcW w:w="1360" w:type="dxa"/>
            <w:vAlign w:val="bottom"/>
            <w:tcBorders>
              <w:top w:val="single" w:sz="8" w:color="002F4D"/>
              <w:bottom w:val="single" w:sz="8" w:color="002F4D"/>
            </w:tcBorders>
          </w:tcPr>
          <w:p>
            <w:pPr>
              <w:jc w:val="right"/>
              <w:ind w:right="84"/>
              <w:spacing w:after="0" w:line="169" w:lineRule="exact"/>
              <w:rPr>
                <w:sz w:val="20"/>
                <w:szCs w:val="20"/>
                <w:color w:val="auto"/>
              </w:rPr>
            </w:pPr>
            <w:r>
              <w:rPr>
                <w:rFonts w:ascii="Arial" w:cs="Arial" w:eastAsia="Arial" w:hAnsi="Arial"/>
                <w:sz w:val="15"/>
                <w:szCs w:val="15"/>
                <w:color w:val="auto"/>
              </w:rPr>
              <w:t>80,460</w:t>
            </w:r>
          </w:p>
        </w:tc>
        <w:tc>
          <w:tcPr>
            <w:tcW w:w="1540" w:type="dxa"/>
            <w:vAlign w:val="bottom"/>
            <w:tcBorders>
              <w:top w:val="single" w:sz="8" w:color="002F4D"/>
              <w:bottom w:val="single" w:sz="8" w:color="002F4D"/>
            </w:tcBorders>
          </w:tcPr>
          <w:p>
            <w:pPr>
              <w:jc w:val="right"/>
              <w:ind w:right="268"/>
              <w:spacing w:after="0" w:line="169" w:lineRule="exact"/>
              <w:rPr>
                <w:sz w:val="20"/>
                <w:szCs w:val="20"/>
                <w:color w:val="auto"/>
              </w:rPr>
            </w:pPr>
            <w:r>
              <w:rPr>
                <w:rFonts w:ascii="Arial" w:cs="Arial" w:eastAsia="Arial" w:hAnsi="Arial"/>
                <w:sz w:val="15"/>
                <w:szCs w:val="15"/>
                <w:color w:val="auto"/>
              </w:rPr>
              <w:t>12,118</w:t>
            </w:r>
          </w:p>
        </w:tc>
        <w:tc>
          <w:tcPr>
            <w:tcW w:w="880" w:type="dxa"/>
            <w:vAlign w:val="bottom"/>
            <w:tcBorders>
              <w:top w:val="single" w:sz="8" w:color="002F4D"/>
              <w:bottom w:val="single" w:sz="8" w:color="002F4D"/>
            </w:tcBorders>
            <w:shd w:val="clear" w:color="auto" w:fill="E5ECF1"/>
          </w:tcPr>
          <w:p>
            <w:pPr>
              <w:jc w:val="right"/>
              <w:spacing w:after="0" w:line="169" w:lineRule="exact"/>
              <w:rPr>
                <w:sz w:val="20"/>
                <w:szCs w:val="20"/>
                <w:color w:val="auto"/>
              </w:rPr>
            </w:pPr>
            <w:r>
              <w:rPr>
                <w:rFonts w:ascii="Arial" w:cs="Arial" w:eastAsia="Arial" w:hAnsi="Arial"/>
                <w:sz w:val="15"/>
                <w:szCs w:val="15"/>
                <w:color w:val="auto"/>
              </w:rPr>
              <w:t>1,936,094</w:t>
            </w:r>
          </w:p>
        </w:tc>
        <w:tc>
          <w:tcPr>
            <w:tcW w:w="0" w:type="dxa"/>
            <w:vAlign w:val="bottom"/>
          </w:tcPr>
          <w:p>
            <w:pPr>
              <w:spacing w:after="0"/>
              <w:rPr>
                <w:sz w:val="1"/>
                <w:szCs w:val="1"/>
                <w:color w:val="auto"/>
              </w:rPr>
            </w:pPr>
          </w:p>
        </w:tc>
      </w:tr>
      <w:tr>
        <w:trPr>
          <w:trHeight w:val="175"/>
        </w:trPr>
        <w:tc>
          <w:tcPr>
            <w:tcW w:w="3080" w:type="dxa"/>
            <w:vAlign w:val="bottom"/>
            <w:tcBorders>
              <w:bottom w:val="single" w:sz="8" w:color="002F4D"/>
            </w:tcBorders>
          </w:tcPr>
          <w:p>
            <w:pPr>
              <w:spacing w:after="0"/>
              <w:rPr>
                <w:sz w:val="15"/>
                <w:szCs w:val="15"/>
                <w:color w:val="auto"/>
              </w:rPr>
            </w:pPr>
          </w:p>
        </w:tc>
        <w:tc>
          <w:tcPr>
            <w:tcW w:w="700" w:type="dxa"/>
            <w:vAlign w:val="bottom"/>
            <w:tcBorders>
              <w:bottom w:val="single" w:sz="8" w:color="002F4D"/>
            </w:tcBorders>
          </w:tcPr>
          <w:p>
            <w:pPr>
              <w:jc w:val="right"/>
              <w:ind w:right="84"/>
              <w:spacing w:after="0" w:line="169" w:lineRule="exact"/>
              <w:rPr>
                <w:sz w:val="20"/>
                <w:szCs w:val="20"/>
                <w:color w:val="auto"/>
              </w:rPr>
            </w:pPr>
            <w:r>
              <w:rPr>
                <w:rFonts w:ascii="Arial" w:cs="Arial" w:eastAsia="Arial" w:hAnsi="Arial"/>
                <w:sz w:val="15"/>
                <w:szCs w:val="15"/>
                <w:color w:val="auto"/>
              </w:rPr>
              <w:t>2023</w:t>
            </w:r>
          </w:p>
        </w:tc>
        <w:tc>
          <w:tcPr>
            <w:tcW w:w="900" w:type="dxa"/>
            <w:vAlign w:val="bottom"/>
            <w:tcBorders>
              <w:bottom w:val="single" w:sz="8" w:color="002F4D"/>
            </w:tcBorders>
          </w:tcPr>
          <w:p>
            <w:pPr>
              <w:jc w:val="right"/>
              <w:ind w:right="124"/>
              <w:spacing w:after="0" w:line="169" w:lineRule="exact"/>
              <w:rPr>
                <w:sz w:val="20"/>
                <w:szCs w:val="20"/>
                <w:color w:val="auto"/>
              </w:rPr>
            </w:pPr>
            <w:r>
              <w:rPr>
                <w:rFonts w:ascii="Arial" w:cs="Arial" w:eastAsia="Arial" w:hAnsi="Arial"/>
                <w:sz w:val="15"/>
                <w:szCs w:val="15"/>
                <w:color w:val="auto"/>
              </w:rPr>
              <w:t>400,000</w:t>
            </w:r>
          </w:p>
        </w:tc>
        <w:tc>
          <w:tcPr>
            <w:tcW w:w="820" w:type="dxa"/>
            <w:vAlign w:val="bottom"/>
            <w:tcBorders>
              <w:bottom w:val="single" w:sz="8" w:color="002F4D"/>
            </w:tcBorders>
          </w:tcPr>
          <w:p>
            <w:pPr>
              <w:jc w:val="right"/>
              <w:ind w:right="84"/>
              <w:spacing w:after="0" w:line="169"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002F4D"/>
            </w:tcBorders>
          </w:tcPr>
          <w:p>
            <w:pPr>
              <w:jc w:val="right"/>
              <w:ind w:right="144"/>
              <w:spacing w:after="0" w:line="169" w:lineRule="exact"/>
              <w:rPr>
                <w:sz w:val="20"/>
                <w:szCs w:val="20"/>
                <w:color w:val="auto"/>
              </w:rPr>
            </w:pPr>
            <w:r>
              <w:rPr>
                <w:rFonts w:ascii="Arial" w:cs="Arial" w:eastAsia="Arial" w:hAnsi="Arial"/>
                <w:sz w:val="15"/>
                <w:szCs w:val="15"/>
                <w:color w:val="auto"/>
              </w:rPr>
              <w:t>1,360,305</w:t>
            </w:r>
          </w:p>
        </w:tc>
        <w:tc>
          <w:tcPr>
            <w:tcW w:w="920" w:type="dxa"/>
            <w:vAlign w:val="bottom"/>
            <w:tcBorders>
              <w:bottom w:val="single" w:sz="8" w:color="002F4D"/>
            </w:tcBorders>
          </w:tcPr>
          <w:p>
            <w:pPr>
              <w:jc w:val="right"/>
              <w:ind w:right="84"/>
              <w:spacing w:after="0" w:line="169" w:lineRule="exact"/>
              <w:rPr>
                <w:sz w:val="20"/>
                <w:szCs w:val="20"/>
                <w:color w:val="auto"/>
              </w:rPr>
            </w:pPr>
            <w:r>
              <w:rPr>
                <w:rFonts w:ascii="Arial" w:cs="Arial" w:eastAsia="Arial" w:hAnsi="Arial"/>
                <w:sz w:val="15"/>
                <w:szCs w:val="15"/>
                <w:color w:val="auto"/>
              </w:rPr>
              <w:t>—</w:t>
            </w:r>
          </w:p>
        </w:tc>
        <w:tc>
          <w:tcPr>
            <w:tcW w:w="1360" w:type="dxa"/>
            <w:vAlign w:val="bottom"/>
            <w:tcBorders>
              <w:bottom w:val="single" w:sz="8" w:color="002F4D"/>
            </w:tcBorders>
          </w:tcPr>
          <w:p>
            <w:pPr>
              <w:jc w:val="right"/>
              <w:ind w:right="84"/>
              <w:spacing w:after="0" w:line="169" w:lineRule="exact"/>
              <w:rPr>
                <w:sz w:val="20"/>
                <w:szCs w:val="20"/>
                <w:color w:val="auto"/>
              </w:rPr>
            </w:pPr>
            <w:r>
              <w:rPr>
                <w:rFonts w:ascii="Arial" w:cs="Arial" w:eastAsia="Arial" w:hAnsi="Arial"/>
                <w:sz w:val="15"/>
                <w:szCs w:val="15"/>
                <w:color w:val="auto"/>
              </w:rPr>
              <w:t>533,600</w:t>
            </w:r>
          </w:p>
        </w:tc>
        <w:tc>
          <w:tcPr>
            <w:tcW w:w="1540" w:type="dxa"/>
            <w:vAlign w:val="bottom"/>
            <w:tcBorders>
              <w:bottom w:val="single" w:sz="8" w:color="002F4D"/>
            </w:tcBorders>
          </w:tcPr>
          <w:p>
            <w:pPr>
              <w:jc w:val="right"/>
              <w:ind w:right="268"/>
              <w:spacing w:after="0" w:line="169" w:lineRule="exact"/>
              <w:rPr>
                <w:sz w:val="20"/>
                <w:szCs w:val="20"/>
                <w:color w:val="auto"/>
              </w:rPr>
            </w:pPr>
            <w:r>
              <w:rPr>
                <w:rFonts w:ascii="Arial" w:cs="Arial" w:eastAsia="Arial" w:hAnsi="Arial"/>
                <w:sz w:val="15"/>
                <w:szCs w:val="15"/>
                <w:color w:val="auto"/>
              </w:rPr>
              <w:t>16,627</w:t>
            </w:r>
          </w:p>
        </w:tc>
        <w:tc>
          <w:tcPr>
            <w:tcW w:w="880" w:type="dxa"/>
            <w:vAlign w:val="bottom"/>
            <w:tcBorders>
              <w:bottom w:val="single" w:sz="8" w:color="002F4D"/>
            </w:tcBorders>
            <w:shd w:val="clear" w:color="auto" w:fill="E5ECF1"/>
          </w:tcPr>
          <w:p>
            <w:pPr>
              <w:jc w:val="right"/>
              <w:spacing w:after="0" w:line="169" w:lineRule="exact"/>
              <w:rPr>
                <w:sz w:val="20"/>
                <w:szCs w:val="20"/>
                <w:color w:val="auto"/>
              </w:rPr>
            </w:pPr>
            <w:r>
              <w:rPr>
                <w:rFonts w:ascii="Arial" w:cs="Arial" w:eastAsia="Arial" w:hAnsi="Arial"/>
                <w:sz w:val="15"/>
                <w:szCs w:val="15"/>
                <w:color w:val="auto"/>
              </w:rPr>
              <w:t>2,310,532</w:t>
            </w:r>
          </w:p>
        </w:tc>
        <w:tc>
          <w:tcPr>
            <w:tcW w:w="0" w:type="dxa"/>
            <w:vAlign w:val="bottom"/>
          </w:tcPr>
          <w:p>
            <w:pPr>
              <w:spacing w:after="0"/>
              <w:rPr>
                <w:sz w:val="1"/>
                <w:szCs w:val="1"/>
                <w:color w:val="auto"/>
              </w:rPr>
            </w:pPr>
          </w:p>
        </w:tc>
      </w:tr>
    </w:tbl>
    <w:p>
      <w:pPr>
        <w:spacing w:after="0" w:line="56" w:lineRule="exact"/>
        <w:rPr>
          <w:sz w:val="20"/>
          <w:szCs w:val="20"/>
          <w:color w:val="auto"/>
        </w:rPr>
      </w:pPr>
    </w:p>
    <w:p>
      <w:pPr>
        <w:jc w:val="both"/>
        <w:ind w:left="300" w:hanging="299"/>
        <w:spacing w:after="0" w:line="250" w:lineRule="auto"/>
        <w:tabs>
          <w:tab w:leader="none" w:pos="3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amounts reported in the “Stock Awards” column of the table reflect the fair value on the grant date of equity awards granted to our NEOs determined in accordance with FASB ASC Topic 718, excluding the effect of estimated forfeitures. For time-based RSUs, fair value is computed by multiplying the total number of shares subject to the award (or target number of shares, if applicable) by the closing price per share of our common stock as reported on the date of grant. For the PSUs, fair value has been calculated based on the probable outcome of the applicable performance conditions and a Monte Carlo simulation valuation model. The closing trading value of our common stock was $149.91 per share on May 13, 2025. The fair value on the grant date of the PSUs granted to our NEOs during 2025 based upon the maximum possible level of achievement under such awards would be $13,104,814 for Mr. FitzGerald, $3,921,171 for Mr. Mittelman, $5,366,098 for Mr. Pool, $5,366,098 for Mr. Spittle, and $2,940,766 for Mr. Fuchsen. Refer to the footnotes to the Grants of Plan-Based Awards table for the assumptions made when calculating the grant date fair values of the fiscal year 2025 grants of RSUs and PSUs.</w:t>
      </w:r>
    </w:p>
    <w:p>
      <w:pPr>
        <w:spacing w:after="0" w:line="20" w:lineRule="exact"/>
        <w:rPr>
          <w:rFonts w:ascii="Arial" w:cs="Arial" w:eastAsia="Arial" w:hAnsi="Arial"/>
          <w:sz w:val="13"/>
          <w:szCs w:val="13"/>
          <w:color w:val="auto"/>
        </w:rPr>
      </w:pPr>
    </w:p>
    <w:p>
      <w:pPr>
        <w:ind w:left="300" w:hanging="299"/>
        <w:spacing w:after="0" w:line="283" w:lineRule="auto"/>
        <w:tabs>
          <w:tab w:leader="none" w:pos="3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All other compensation amounts in 2025 for Mr. FitzGerald include a $1,375 Company contribution to a health savings account, $3,870 in Company-paid life insurance premiums, and a 401(k) Company matching contribution of $7,000.</w:t>
      </w:r>
    </w:p>
    <w:p>
      <w:pPr>
        <w:ind w:left="300" w:hanging="299"/>
        <w:spacing w:after="0" w:line="283" w:lineRule="auto"/>
        <w:tabs>
          <w:tab w:leader="none" w:pos="3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All other compensation amounts in 2025 for Mr. Mittelman include a $1,375 Company contribution to a health savings account, $3,870 in Company-paid life insurance premiums, and a 401(k) Company matching contribution of $7,000.</w:t>
      </w:r>
    </w:p>
    <w:p>
      <w:pPr>
        <w:ind w:left="300" w:hanging="299"/>
        <w:spacing w:after="0" w:line="283" w:lineRule="auto"/>
        <w:tabs>
          <w:tab w:leader="none" w:pos="3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All other compensation amounts in 2025 for Mr. Pool may include a $1,375 Company contribution to a health savings account, $2,070 in Company-paid life insurance premiums, and a 401(k) Company matching contribution of $5,764.</w:t>
      </w:r>
    </w:p>
    <w:p>
      <w:pPr>
        <w:ind w:left="300" w:hanging="299"/>
        <w:spacing w:after="0" w:line="283" w:lineRule="auto"/>
        <w:tabs>
          <w:tab w:leader="none" w:pos="3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All other compensation amounts in 2025 for Mr. Spittle include a $1,375 Company contribution to a health savings account, $900 in Company-paid life insurance premiums, and a 401(k) Company matching contribution of $7,000.</w:t>
      </w:r>
    </w:p>
    <w:p>
      <w:pPr>
        <w:ind w:left="300" w:hanging="299"/>
        <w:spacing w:after="0" w:line="285" w:lineRule="auto"/>
        <w:tabs>
          <w:tab w:leader="none" w:pos="3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All other compensation amounts in 2025 for Mr. Fuchsen include a $1,375 Company contribution to a health savings account, $3,870 in Company-paid life insurance premiums, and a 401(k) Company matching contribution of $7,000.</w:t>
      </w:r>
    </w:p>
    <w:p>
      <w:pPr>
        <w:spacing w:after="0" w:line="120" w:lineRule="exact"/>
        <w:rPr>
          <w:sz w:val="20"/>
          <w:szCs w:val="20"/>
          <w:color w:val="auto"/>
        </w:rPr>
      </w:pPr>
    </w:p>
    <w:p>
      <w:pPr>
        <w:ind w:left="8960"/>
        <w:spacing w:after="0"/>
        <w:tabs>
          <w:tab w:leader="none" w:pos="1106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5"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Employment Agreements with Named Executive Officers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00304D"/>
        </w:rPr>
        <w:t>Timothy J. FitzGerald</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On March 10, 2022, the Company and MM entered into an employment agreement with Mr. FitzGerald. This employment agreement supersedes his previous employment agreement and memorializes Mr. FitzGerald’s current base salary of $975,000 (which remains unchanged since his promotion to CEO in 2019) and his eligibility to participate in the Company’s management incentive programs. The initial term of such employment agreement ended on December 31, 2024 and was extended automatically upon the same terms and conditions for additional one-year periods.</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terms of the employment agreement relating to the termination of Mr. FitzGerald’s employment are discussed below under the heading “Potential Payments Upon Termination or Change in Control.”</w:t>
      </w:r>
    </w:p>
    <w:p>
      <w:pPr>
        <w:spacing w:after="0" w:line="125"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Any summaries of Mr. FitzGerald’s employment agreement are qualified in their entirety by reference to the employment agreement, which is filed as an exhibit to the Company’s Annual Report on Form 10-K for the fiscal year ended January 3, 2026.</w:t>
      </w:r>
    </w:p>
    <w:p>
      <w:pPr>
        <w:spacing w:after="0" w:line="217"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Grants of Plan-Based Awards in Fiscal Year 2025</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following table sets forth information concerning cash incentive opportunities and grants of RSUs and PSUs made to our NEOs during fiscal year 2025. The grant dates set forth below indicate the date on which the Board granted the award.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60" w:type="dxa"/>
            <w:vAlign w:val="bottom"/>
            <w:gridSpan w:val="4"/>
          </w:tcPr>
          <w:p>
            <w:pPr>
              <w:jc w:val="center"/>
              <w:ind w:right="200"/>
              <w:spacing w:after="0"/>
              <w:rPr>
                <w:sz w:val="20"/>
                <w:szCs w:val="20"/>
                <w:color w:val="auto"/>
              </w:rPr>
            </w:pPr>
            <w:r>
              <w:rPr>
                <w:rFonts w:ascii="Arial" w:cs="Arial" w:eastAsia="Arial" w:hAnsi="Arial"/>
                <w:sz w:val="15"/>
                <w:szCs w:val="15"/>
                <w:b w:val="1"/>
                <w:bCs w:val="1"/>
                <w:color w:val="00304D"/>
              </w:rPr>
              <w:t>Estimated Future Payouts</w:t>
            </w:r>
          </w:p>
        </w:tc>
        <w:tc>
          <w:tcPr>
            <w:tcW w:w="2780" w:type="dxa"/>
            <w:vAlign w:val="bottom"/>
            <w:gridSpan w:val="4"/>
          </w:tcPr>
          <w:p>
            <w:pPr>
              <w:jc w:val="center"/>
              <w:ind w:right="100"/>
              <w:spacing w:after="0"/>
              <w:rPr>
                <w:sz w:val="20"/>
                <w:szCs w:val="20"/>
                <w:color w:val="auto"/>
              </w:rPr>
            </w:pPr>
            <w:r>
              <w:rPr>
                <w:rFonts w:ascii="Arial" w:cs="Arial" w:eastAsia="Arial" w:hAnsi="Arial"/>
                <w:sz w:val="15"/>
                <w:szCs w:val="15"/>
                <w:b w:val="1"/>
                <w:bCs w:val="1"/>
                <w:color w:val="00304D"/>
              </w:rPr>
              <w:t>Estimated Future Payouts</w:t>
            </w: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60" w:type="dxa"/>
            <w:vAlign w:val="bottom"/>
            <w:gridSpan w:val="4"/>
          </w:tcPr>
          <w:p>
            <w:pPr>
              <w:jc w:val="center"/>
              <w:ind w:right="200"/>
              <w:spacing w:after="0"/>
              <w:rPr>
                <w:sz w:val="20"/>
                <w:szCs w:val="20"/>
                <w:color w:val="auto"/>
              </w:rPr>
            </w:pPr>
            <w:r>
              <w:rPr>
                <w:rFonts w:ascii="Arial" w:cs="Arial" w:eastAsia="Arial" w:hAnsi="Arial"/>
                <w:sz w:val="15"/>
                <w:szCs w:val="15"/>
                <w:b w:val="1"/>
                <w:bCs w:val="1"/>
                <w:color w:val="00304D"/>
              </w:rPr>
              <w:t>Under Non-Equity Incentive</w:t>
            </w:r>
          </w:p>
        </w:tc>
        <w:tc>
          <w:tcPr>
            <w:tcW w:w="2180" w:type="dxa"/>
            <w:vAlign w:val="bottom"/>
            <w:gridSpan w:val="2"/>
          </w:tcPr>
          <w:p>
            <w:pPr>
              <w:jc w:val="center"/>
              <w:ind w:left="424"/>
              <w:spacing w:after="0"/>
              <w:rPr>
                <w:sz w:val="20"/>
                <w:szCs w:val="20"/>
                <w:color w:val="auto"/>
              </w:rPr>
            </w:pPr>
            <w:r>
              <w:rPr>
                <w:rFonts w:ascii="Arial" w:cs="Arial" w:eastAsia="Arial" w:hAnsi="Arial"/>
                <w:sz w:val="15"/>
                <w:szCs w:val="15"/>
                <w:b w:val="1"/>
                <w:bCs w:val="1"/>
                <w:color w:val="00304D"/>
              </w:rPr>
              <w:t>Under Equity Incentive</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20" w:type="dxa"/>
            <w:vAlign w:val="bottom"/>
            <w:tcBorders>
              <w:bottom w:val="single" w:sz="8" w:color="002F4D"/>
            </w:tcBorders>
            <w:gridSpan w:val="2"/>
          </w:tcPr>
          <w:p>
            <w:pPr>
              <w:jc w:val="center"/>
              <w:ind w:left="665"/>
              <w:spacing w:after="0" w:line="214" w:lineRule="exact"/>
              <w:rPr>
                <w:sz w:val="20"/>
                <w:szCs w:val="20"/>
                <w:color w:val="auto"/>
              </w:rPr>
            </w:pPr>
            <w:r>
              <w:rPr>
                <w:rFonts w:ascii="Arial" w:cs="Arial" w:eastAsia="Arial" w:hAnsi="Arial"/>
                <w:sz w:val="15"/>
                <w:szCs w:val="15"/>
                <w:b w:val="1"/>
                <w:bCs w:val="1"/>
                <w:color w:val="00304D"/>
                <w:w w:val="96"/>
              </w:rPr>
              <w:t>Plan Awards</w:t>
            </w:r>
            <w:r>
              <w:rPr>
                <w:rFonts w:ascii="Arial" w:cs="Arial" w:eastAsia="Arial" w:hAnsi="Arial"/>
                <w:sz w:val="24"/>
                <w:szCs w:val="24"/>
                <w:b w:val="1"/>
                <w:bCs w:val="1"/>
                <w:color w:val="00304D"/>
                <w:w w:val="96"/>
                <w:vertAlign w:val="superscript"/>
              </w:rPr>
              <w:t>(1)</w:t>
            </w:r>
          </w:p>
        </w:tc>
        <w:tc>
          <w:tcPr>
            <w:tcW w:w="740" w:type="dxa"/>
            <w:vAlign w:val="bottom"/>
            <w:tcBorders>
              <w:bottom w:val="single" w:sz="8" w:color="002F4D"/>
            </w:tcBorders>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Borders>
              <w:bottom w:val="single" w:sz="8" w:color="002F4D"/>
            </w:tcBorders>
            <w:gridSpan w:val="2"/>
          </w:tcPr>
          <w:p>
            <w:pPr>
              <w:jc w:val="center"/>
              <w:ind w:left="424"/>
              <w:spacing w:after="0"/>
              <w:rPr>
                <w:sz w:val="20"/>
                <w:szCs w:val="20"/>
                <w:color w:val="auto"/>
              </w:rPr>
            </w:pPr>
            <w:r>
              <w:rPr>
                <w:rFonts w:ascii="Arial" w:cs="Arial" w:eastAsia="Arial" w:hAnsi="Arial"/>
                <w:sz w:val="15"/>
                <w:szCs w:val="15"/>
                <w:b w:val="1"/>
                <w:bCs w:val="1"/>
                <w:color w:val="00304D"/>
              </w:rPr>
              <w:t>Plan Awards</w:t>
            </w:r>
          </w:p>
        </w:tc>
        <w:tc>
          <w:tcPr>
            <w:tcW w:w="500" w:type="dxa"/>
            <w:vAlign w:val="bottom"/>
            <w:tcBorders>
              <w:bottom w:val="single" w:sz="8" w:color="002F4D"/>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b w:val="1"/>
                <w:bCs w:val="1"/>
                <w:color w:val="00304D"/>
              </w:rPr>
              <w:t>Grant Date</w:t>
            </w:r>
          </w:p>
        </w:tc>
        <w:tc>
          <w:tcPr>
            <w:tcW w:w="0" w:type="dxa"/>
            <w:vAlign w:val="bottom"/>
          </w:tcPr>
          <w:p>
            <w:pPr>
              <w:spacing w:after="0"/>
              <w:rPr>
                <w:sz w:val="1"/>
                <w:szCs w:val="1"/>
                <w:color w:val="auto"/>
              </w:rPr>
            </w:pPr>
          </w:p>
        </w:tc>
      </w:tr>
      <w:tr>
        <w:trPr>
          <w:trHeight w:val="144"/>
        </w:trPr>
        <w:tc>
          <w:tcPr>
            <w:tcW w:w="1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4"/>
              <w:spacing w:after="0"/>
              <w:rPr>
                <w:sz w:val="20"/>
                <w:szCs w:val="20"/>
                <w:color w:val="auto"/>
              </w:rPr>
            </w:pPr>
            <w:r>
              <w:rPr>
                <w:rFonts w:ascii="Arial" w:cs="Arial" w:eastAsia="Arial" w:hAnsi="Arial"/>
                <w:sz w:val="15"/>
                <w:szCs w:val="15"/>
                <w:b w:val="1"/>
                <w:bCs w:val="1"/>
                <w:color w:val="00304D"/>
              </w:rPr>
              <w:t>All Other Stock</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00304D"/>
              </w:rPr>
              <w:t>Fair Value</w:t>
            </w:r>
          </w:p>
        </w:tc>
        <w:tc>
          <w:tcPr>
            <w:tcW w:w="0" w:type="dxa"/>
            <w:vAlign w:val="bottom"/>
          </w:tcPr>
          <w:p>
            <w:pPr>
              <w:spacing w:after="0"/>
              <w:rPr>
                <w:sz w:val="1"/>
                <w:szCs w:val="1"/>
                <w:color w:val="auto"/>
              </w:rPr>
            </w:pPr>
          </w:p>
        </w:tc>
      </w:tr>
      <w:tr>
        <w:trPr>
          <w:trHeight w:val="177"/>
        </w:trPr>
        <w:tc>
          <w:tcPr>
            <w:tcW w:w="1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ind w:right="44"/>
              <w:spacing w:after="0"/>
              <w:rPr>
                <w:sz w:val="20"/>
                <w:szCs w:val="20"/>
                <w:color w:val="auto"/>
              </w:rPr>
            </w:pPr>
            <w:r>
              <w:rPr>
                <w:rFonts w:ascii="Arial" w:cs="Arial" w:eastAsia="Arial" w:hAnsi="Arial"/>
                <w:sz w:val="15"/>
                <w:szCs w:val="15"/>
                <w:b w:val="1"/>
                <w:bCs w:val="1"/>
                <w:color w:val="00304D"/>
              </w:rPr>
              <w:t>Awards: Number</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00304D"/>
              </w:rPr>
              <w:t>of Stock</w:t>
            </w:r>
          </w:p>
        </w:tc>
        <w:tc>
          <w:tcPr>
            <w:tcW w:w="0" w:type="dxa"/>
            <w:vAlign w:val="bottom"/>
          </w:tcPr>
          <w:p>
            <w:pPr>
              <w:spacing w:after="0"/>
              <w:rPr>
                <w:sz w:val="1"/>
                <w:szCs w:val="1"/>
                <w:color w:val="auto"/>
              </w:rPr>
            </w:pPr>
          </w:p>
        </w:tc>
      </w:tr>
      <w:tr>
        <w:trPr>
          <w:trHeight w:val="177"/>
        </w:trPr>
        <w:tc>
          <w:tcPr>
            <w:tcW w:w="1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ind w:right="44"/>
              <w:spacing w:after="0"/>
              <w:rPr>
                <w:sz w:val="20"/>
                <w:szCs w:val="20"/>
                <w:color w:val="auto"/>
              </w:rPr>
            </w:pPr>
            <w:r>
              <w:rPr>
                <w:rFonts w:ascii="Arial" w:cs="Arial" w:eastAsia="Arial" w:hAnsi="Arial"/>
                <w:sz w:val="15"/>
                <w:szCs w:val="15"/>
                <w:b w:val="1"/>
                <w:bCs w:val="1"/>
                <w:color w:val="00304D"/>
              </w:rPr>
              <w:t>of Shares of</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00304D"/>
              </w:rPr>
              <w:t>and Option</w:t>
            </w:r>
          </w:p>
        </w:tc>
        <w:tc>
          <w:tcPr>
            <w:tcW w:w="0" w:type="dxa"/>
            <w:vAlign w:val="bottom"/>
          </w:tcPr>
          <w:p>
            <w:pPr>
              <w:spacing w:after="0"/>
              <w:rPr>
                <w:sz w:val="1"/>
                <w:szCs w:val="1"/>
                <w:color w:val="auto"/>
              </w:rPr>
            </w:pPr>
          </w:p>
        </w:tc>
      </w:tr>
      <w:tr>
        <w:trPr>
          <w:trHeight w:val="177"/>
        </w:trPr>
        <w:tc>
          <w:tcPr>
            <w:tcW w:w="1960" w:type="dxa"/>
            <w:vAlign w:val="bottom"/>
          </w:tcPr>
          <w:p>
            <w:pPr>
              <w:spacing w:after="0"/>
              <w:rPr>
                <w:sz w:val="15"/>
                <w:szCs w:val="15"/>
                <w:color w:val="auto"/>
              </w:rPr>
            </w:pPr>
          </w:p>
        </w:tc>
        <w:tc>
          <w:tcPr>
            <w:tcW w:w="1220" w:type="dxa"/>
            <w:vAlign w:val="bottom"/>
          </w:tcPr>
          <w:p>
            <w:pPr>
              <w:jc w:val="right"/>
              <w:ind w:right="289"/>
              <w:spacing w:after="0"/>
              <w:rPr>
                <w:sz w:val="20"/>
                <w:szCs w:val="20"/>
                <w:color w:val="auto"/>
              </w:rPr>
            </w:pPr>
            <w:r>
              <w:rPr>
                <w:rFonts w:ascii="Arial" w:cs="Arial" w:eastAsia="Arial" w:hAnsi="Arial"/>
                <w:sz w:val="15"/>
                <w:szCs w:val="15"/>
                <w:b w:val="1"/>
                <w:bCs w:val="1"/>
                <w:color w:val="00304D"/>
              </w:rPr>
              <w:t>Grant</w:t>
            </w:r>
          </w:p>
        </w:tc>
        <w:tc>
          <w:tcPr>
            <w:tcW w:w="1040" w:type="dxa"/>
            <w:vAlign w:val="bottom"/>
          </w:tcPr>
          <w:p>
            <w:pPr>
              <w:jc w:val="right"/>
              <w:ind w:right="85"/>
              <w:spacing w:after="0"/>
              <w:rPr>
                <w:sz w:val="20"/>
                <w:szCs w:val="20"/>
                <w:color w:val="auto"/>
              </w:rPr>
            </w:pPr>
            <w:r>
              <w:rPr>
                <w:rFonts w:ascii="Arial" w:cs="Arial" w:eastAsia="Arial" w:hAnsi="Arial"/>
                <w:sz w:val="15"/>
                <w:szCs w:val="15"/>
                <w:b w:val="1"/>
                <w:bCs w:val="1"/>
                <w:color w:val="00304D"/>
              </w:rPr>
              <w:t>Threshold</w:t>
            </w:r>
          </w:p>
        </w:tc>
        <w:tc>
          <w:tcPr>
            <w:tcW w:w="880" w:type="dxa"/>
            <w:vAlign w:val="bottom"/>
          </w:tcPr>
          <w:p>
            <w:pPr>
              <w:jc w:val="right"/>
              <w:ind w:right="84"/>
              <w:spacing w:after="0"/>
              <w:rPr>
                <w:sz w:val="20"/>
                <w:szCs w:val="20"/>
                <w:color w:val="auto"/>
              </w:rPr>
            </w:pPr>
            <w:r>
              <w:rPr>
                <w:rFonts w:ascii="Arial" w:cs="Arial" w:eastAsia="Arial" w:hAnsi="Arial"/>
                <w:sz w:val="15"/>
                <w:szCs w:val="15"/>
                <w:b w:val="1"/>
                <w:bCs w:val="1"/>
                <w:color w:val="00304D"/>
              </w:rPr>
              <w:t>Target</w:t>
            </w:r>
          </w:p>
        </w:tc>
        <w:tc>
          <w:tcPr>
            <w:tcW w:w="940" w:type="dxa"/>
            <w:vAlign w:val="bottom"/>
            <w:gridSpan w:val="2"/>
          </w:tcPr>
          <w:p>
            <w:pPr>
              <w:ind w:left="440"/>
              <w:spacing w:after="0"/>
              <w:rPr>
                <w:sz w:val="20"/>
                <w:szCs w:val="20"/>
                <w:color w:val="auto"/>
              </w:rPr>
            </w:pPr>
            <w:r>
              <w:rPr>
                <w:rFonts w:ascii="Arial" w:cs="Arial" w:eastAsia="Arial" w:hAnsi="Arial"/>
                <w:sz w:val="15"/>
                <w:szCs w:val="15"/>
                <w:b w:val="1"/>
                <w:bCs w:val="1"/>
                <w:color w:val="00304D"/>
              </w:rPr>
              <w:t>Max</w:t>
            </w:r>
          </w:p>
        </w:tc>
        <w:tc>
          <w:tcPr>
            <w:tcW w:w="1120" w:type="dxa"/>
            <w:vAlign w:val="bottom"/>
          </w:tcPr>
          <w:p>
            <w:pPr>
              <w:jc w:val="right"/>
              <w:ind w:right="144"/>
              <w:spacing w:after="0"/>
              <w:rPr>
                <w:sz w:val="20"/>
                <w:szCs w:val="20"/>
                <w:color w:val="auto"/>
              </w:rPr>
            </w:pPr>
            <w:r>
              <w:rPr>
                <w:rFonts w:ascii="Arial" w:cs="Arial" w:eastAsia="Arial" w:hAnsi="Arial"/>
                <w:sz w:val="15"/>
                <w:szCs w:val="15"/>
                <w:b w:val="1"/>
                <w:bCs w:val="1"/>
                <w:color w:val="00304D"/>
              </w:rPr>
              <w:t>Threshold</w:t>
            </w:r>
          </w:p>
        </w:tc>
        <w:tc>
          <w:tcPr>
            <w:tcW w:w="1060" w:type="dxa"/>
            <w:vAlign w:val="bottom"/>
          </w:tcPr>
          <w:p>
            <w:pPr>
              <w:jc w:val="right"/>
              <w:ind w:right="324"/>
              <w:spacing w:after="0"/>
              <w:rPr>
                <w:sz w:val="20"/>
                <w:szCs w:val="20"/>
                <w:color w:val="auto"/>
              </w:rPr>
            </w:pPr>
            <w:r>
              <w:rPr>
                <w:rFonts w:ascii="Arial" w:cs="Arial" w:eastAsia="Arial" w:hAnsi="Arial"/>
                <w:sz w:val="15"/>
                <w:szCs w:val="15"/>
                <w:b w:val="1"/>
                <w:bCs w:val="1"/>
                <w:color w:val="00304D"/>
              </w:rPr>
              <w:t>Target</w:t>
            </w:r>
          </w:p>
        </w:tc>
        <w:tc>
          <w:tcPr>
            <w:tcW w:w="600" w:type="dxa"/>
            <w:vAlign w:val="bottom"/>
            <w:gridSpan w:val="2"/>
          </w:tcPr>
          <w:p>
            <w:pPr>
              <w:ind w:left="200"/>
              <w:spacing w:after="0"/>
              <w:rPr>
                <w:sz w:val="20"/>
                <w:szCs w:val="20"/>
                <w:color w:val="auto"/>
              </w:rPr>
            </w:pPr>
            <w:r>
              <w:rPr>
                <w:rFonts w:ascii="Arial" w:cs="Arial" w:eastAsia="Arial" w:hAnsi="Arial"/>
                <w:sz w:val="15"/>
                <w:szCs w:val="15"/>
                <w:b w:val="1"/>
                <w:bCs w:val="1"/>
                <w:color w:val="00304D"/>
              </w:rPr>
              <w:t>Max</w:t>
            </w:r>
          </w:p>
        </w:tc>
        <w:tc>
          <w:tcPr>
            <w:tcW w:w="1440" w:type="dxa"/>
            <w:vAlign w:val="bottom"/>
          </w:tcPr>
          <w:p>
            <w:pPr>
              <w:jc w:val="right"/>
              <w:ind w:right="44"/>
              <w:spacing w:after="0"/>
              <w:rPr>
                <w:sz w:val="20"/>
                <w:szCs w:val="20"/>
                <w:color w:val="auto"/>
              </w:rPr>
            </w:pPr>
            <w:r>
              <w:rPr>
                <w:rFonts w:ascii="Arial" w:cs="Arial" w:eastAsia="Arial" w:hAnsi="Arial"/>
                <w:sz w:val="15"/>
                <w:szCs w:val="15"/>
                <w:b w:val="1"/>
                <w:bCs w:val="1"/>
                <w:color w:val="00304D"/>
              </w:rPr>
              <w:t>Stock or Units</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00304D"/>
              </w:rPr>
              <w:t>Awards</w:t>
            </w:r>
          </w:p>
        </w:tc>
        <w:tc>
          <w:tcPr>
            <w:tcW w:w="0" w:type="dxa"/>
            <w:vAlign w:val="bottom"/>
          </w:tcPr>
          <w:p>
            <w:pPr>
              <w:spacing w:after="0"/>
              <w:rPr>
                <w:sz w:val="1"/>
                <w:szCs w:val="1"/>
                <w:color w:val="auto"/>
              </w:rPr>
            </w:pPr>
          </w:p>
        </w:tc>
      </w:tr>
      <w:tr>
        <w:trPr>
          <w:trHeight w:val="215"/>
        </w:trPr>
        <w:tc>
          <w:tcPr>
            <w:tcW w:w="196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00304D"/>
              </w:rPr>
              <w:t>Name</w:t>
            </w:r>
          </w:p>
        </w:tc>
        <w:tc>
          <w:tcPr>
            <w:tcW w:w="1220" w:type="dxa"/>
            <w:vAlign w:val="bottom"/>
            <w:tcBorders>
              <w:bottom w:val="single" w:sz="8" w:color="002F4D"/>
            </w:tcBorders>
          </w:tcPr>
          <w:p>
            <w:pPr>
              <w:jc w:val="right"/>
              <w:ind w:right="289"/>
              <w:spacing w:after="0"/>
              <w:rPr>
                <w:sz w:val="20"/>
                <w:szCs w:val="20"/>
                <w:color w:val="auto"/>
              </w:rPr>
            </w:pPr>
            <w:r>
              <w:rPr>
                <w:rFonts w:ascii="Arial" w:cs="Arial" w:eastAsia="Arial" w:hAnsi="Arial"/>
                <w:sz w:val="15"/>
                <w:szCs w:val="15"/>
                <w:b w:val="1"/>
                <w:bCs w:val="1"/>
                <w:color w:val="00304D"/>
              </w:rPr>
              <w:t>Date</w:t>
            </w:r>
          </w:p>
        </w:tc>
        <w:tc>
          <w:tcPr>
            <w:tcW w:w="1040" w:type="dxa"/>
            <w:vAlign w:val="bottom"/>
            <w:tcBorders>
              <w:bottom w:val="single" w:sz="8" w:color="002F4D"/>
            </w:tcBorders>
          </w:tcPr>
          <w:p>
            <w:pPr>
              <w:jc w:val="right"/>
              <w:ind w:right="85"/>
              <w:spacing w:after="0"/>
              <w:rPr>
                <w:sz w:val="20"/>
                <w:szCs w:val="20"/>
                <w:color w:val="auto"/>
              </w:rPr>
            </w:pPr>
            <w:r>
              <w:rPr>
                <w:rFonts w:ascii="Arial" w:cs="Arial" w:eastAsia="Arial" w:hAnsi="Arial"/>
                <w:sz w:val="15"/>
                <w:szCs w:val="15"/>
                <w:b w:val="1"/>
                <w:bCs w:val="1"/>
                <w:color w:val="00304D"/>
              </w:rPr>
              <w:t>($)</w:t>
            </w:r>
          </w:p>
        </w:tc>
        <w:tc>
          <w:tcPr>
            <w:tcW w:w="880" w:type="dxa"/>
            <w:vAlign w:val="bottom"/>
            <w:tcBorders>
              <w:bottom w:val="single" w:sz="8" w:color="002F4D"/>
            </w:tcBorders>
          </w:tcPr>
          <w:p>
            <w:pPr>
              <w:jc w:val="right"/>
              <w:ind w:right="84"/>
              <w:spacing w:after="0"/>
              <w:rPr>
                <w:sz w:val="20"/>
                <w:szCs w:val="20"/>
                <w:color w:val="auto"/>
              </w:rPr>
            </w:pPr>
            <w:r>
              <w:rPr>
                <w:rFonts w:ascii="Arial" w:cs="Arial" w:eastAsia="Arial" w:hAnsi="Arial"/>
                <w:sz w:val="15"/>
                <w:szCs w:val="15"/>
                <w:b w:val="1"/>
                <w:bCs w:val="1"/>
                <w:color w:val="00304D"/>
              </w:rPr>
              <w:t>($)</w:t>
            </w:r>
          </w:p>
        </w:tc>
        <w:tc>
          <w:tcPr>
            <w:tcW w:w="940" w:type="dxa"/>
            <w:vAlign w:val="bottom"/>
            <w:tcBorders>
              <w:bottom w:val="single" w:sz="8" w:color="002F4D"/>
            </w:tcBorders>
            <w:gridSpan w:val="2"/>
          </w:tcPr>
          <w:p>
            <w:pPr>
              <w:jc w:val="right"/>
              <w:ind w:right="200"/>
              <w:spacing w:after="0"/>
              <w:rPr>
                <w:sz w:val="20"/>
                <w:szCs w:val="20"/>
                <w:color w:val="auto"/>
              </w:rPr>
            </w:pPr>
            <w:r>
              <w:rPr>
                <w:rFonts w:ascii="Arial" w:cs="Arial" w:eastAsia="Arial" w:hAnsi="Arial"/>
                <w:sz w:val="15"/>
                <w:szCs w:val="15"/>
                <w:b w:val="1"/>
                <w:bCs w:val="1"/>
                <w:color w:val="00304D"/>
              </w:rPr>
              <w:t>($)</w:t>
            </w:r>
          </w:p>
        </w:tc>
        <w:tc>
          <w:tcPr>
            <w:tcW w:w="1120" w:type="dxa"/>
            <w:vAlign w:val="bottom"/>
            <w:tcBorders>
              <w:bottom w:val="single" w:sz="8" w:color="002F4D"/>
            </w:tcBorders>
          </w:tcPr>
          <w:p>
            <w:pPr>
              <w:jc w:val="right"/>
              <w:ind w:right="144"/>
              <w:spacing w:after="0"/>
              <w:rPr>
                <w:sz w:val="20"/>
                <w:szCs w:val="20"/>
                <w:color w:val="auto"/>
              </w:rPr>
            </w:pPr>
            <w:r>
              <w:rPr>
                <w:rFonts w:ascii="Arial" w:cs="Arial" w:eastAsia="Arial" w:hAnsi="Arial"/>
                <w:sz w:val="15"/>
                <w:szCs w:val="15"/>
                <w:b w:val="1"/>
                <w:bCs w:val="1"/>
                <w:color w:val="00304D"/>
              </w:rPr>
              <w:t>(#)</w:t>
            </w:r>
          </w:p>
        </w:tc>
        <w:tc>
          <w:tcPr>
            <w:tcW w:w="1060" w:type="dxa"/>
            <w:vAlign w:val="bottom"/>
            <w:tcBorders>
              <w:bottom w:val="single" w:sz="8" w:color="002F4D"/>
            </w:tcBorders>
          </w:tcPr>
          <w:p>
            <w:pPr>
              <w:jc w:val="right"/>
              <w:ind w:right="324"/>
              <w:spacing w:after="0"/>
              <w:rPr>
                <w:sz w:val="20"/>
                <w:szCs w:val="20"/>
                <w:color w:val="auto"/>
              </w:rPr>
            </w:pPr>
            <w:r>
              <w:rPr>
                <w:rFonts w:ascii="Arial" w:cs="Arial" w:eastAsia="Arial" w:hAnsi="Arial"/>
                <w:sz w:val="15"/>
                <w:szCs w:val="15"/>
                <w:b w:val="1"/>
                <w:bCs w:val="1"/>
                <w:color w:val="00304D"/>
              </w:rPr>
              <w:t>(#)</w:t>
            </w:r>
          </w:p>
        </w:tc>
        <w:tc>
          <w:tcPr>
            <w:tcW w:w="600" w:type="dxa"/>
            <w:vAlign w:val="bottom"/>
            <w:tcBorders>
              <w:bottom w:val="single" w:sz="8" w:color="002F4D"/>
            </w:tcBorders>
            <w:gridSpan w:val="2"/>
          </w:tcPr>
          <w:p>
            <w:pPr>
              <w:jc w:val="right"/>
              <w:ind w:right="100"/>
              <w:spacing w:after="0"/>
              <w:rPr>
                <w:sz w:val="20"/>
                <w:szCs w:val="20"/>
                <w:color w:val="auto"/>
              </w:rPr>
            </w:pPr>
            <w:r>
              <w:rPr>
                <w:rFonts w:ascii="Arial" w:cs="Arial" w:eastAsia="Arial" w:hAnsi="Arial"/>
                <w:sz w:val="15"/>
                <w:szCs w:val="15"/>
                <w:b w:val="1"/>
                <w:bCs w:val="1"/>
                <w:color w:val="00304D"/>
              </w:rPr>
              <w:t>(#)</w:t>
            </w:r>
          </w:p>
        </w:tc>
        <w:tc>
          <w:tcPr>
            <w:tcW w:w="1440" w:type="dxa"/>
            <w:vAlign w:val="bottom"/>
            <w:tcBorders>
              <w:bottom w:val="single" w:sz="8" w:color="002F4D"/>
            </w:tcBorders>
          </w:tcPr>
          <w:p>
            <w:pPr>
              <w:jc w:val="right"/>
              <w:ind w:right="44"/>
              <w:spacing w:after="0"/>
              <w:rPr>
                <w:sz w:val="20"/>
                <w:szCs w:val="20"/>
                <w:color w:val="auto"/>
              </w:rPr>
            </w:pPr>
            <w:r>
              <w:rPr>
                <w:rFonts w:ascii="Arial" w:cs="Arial" w:eastAsia="Arial" w:hAnsi="Arial"/>
                <w:sz w:val="15"/>
                <w:szCs w:val="15"/>
                <w:b w:val="1"/>
                <w:bCs w:val="1"/>
                <w:color w:val="00304D"/>
              </w:rPr>
              <w:t>(#)</w:t>
            </w:r>
          </w:p>
        </w:tc>
        <w:tc>
          <w:tcPr>
            <w:tcW w:w="980" w:type="dxa"/>
            <w:vAlign w:val="bottom"/>
            <w:tcBorders>
              <w:bottom w:val="single" w:sz="8" w:color="002F4D"/>
            </w:tcBorders>
          </w:tcPr>
          <w:p>
            <w:pPr>
              <w:jc w:val="right"/>
              <w:spacing w:after="0" w:line="214" w:lineRule="exact"/>
              <w:rPr>
                <w:sz w:val="20"/>
                <w:szCs w:val="20"/>
                <w:color w:val="auto"/>
              </w:rPr>
            </w:pPr>
            <w:r>
              <w:rPr>
                <w:rFonts w:ascii="Arial" w:cs="Arial" w:eastAsia="Arial" w:hAnsi="Arial"/>
                <w:sz w:val="24"/>
                <w:szCs w:val="24"/>
                <w:b w:val="1"/>
                <w:bCs w:val="1"/>
                <w:color w:val="00304D"/>
                <w:vertAlign w:val="subscript"/>
              </w:rPr>
              <w:t>($)</w:t>
            </w:r>
            <w:r>
              <w:rPr>
                <w:rFonts w:ascii="Arial" w:cs="Arial" w:eastAsia="Arial" w:hAnsi="Arial"/>
                <w:sz w:val="11"/>
                <w:szCs w:val="11"/>
                <w:b w:val="1"/>
                <w:bCs w:val="1"/>
                <w:color w:val="00304D"/>
              </w:rPr>
              <w:t>(2)</w:t>
            </w:r>
          </w:p>
        </w:tc>
        <w:tc>
          <w:tcPr>
            <w:tcW w:w="0" w:type="dxa"/>
            <w:vAlign w:val="bottom"/>
          </w:tcPr>
          <w:p>
            <w:pPr>
              <w:spacing w:after="0"/>
              <w:rPr>
                <w:sz w:val="1"/>
                <w:szCs w:val="1"/>
                <w:color w:val="auto"/>
              </w:rPr>
            </w:pPr>
          </w:p>
        </w:tc>
      </w:tr>
      <w:tr>
        <w:trPr>
          <w:trHeight w:val="169"/>
        </w:trPr>
        <w:tc>
          <w:tcPr>
            <w:tcW w:w="196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b w:val="1"/>
                <w:bCs w:val="1"/>
                <w:color w:val="auto"/>
              </w:rPr>
              <w:t>Timothy J. FitzGerald</w:t>
            </w:r>
          </w:p>
        </w:tc>
        <w:tc>
          <w:tcPr>
            <w:tcW w:w="1220" w:type="dxa"/>
            <w:vAlign w:val="bottom"/>
            <w:tcBorders>
              <w:bottom w:val="single" w:sz="8" w:color="002F4D"/>
            </w:tcBorders>
          </w:tcPr>
          <w:p>
            <w:pPr>
              <w:spacing w:after="0"/>
              <w:rPr>
                <w:sz w:val="14"/>
                <w:szCs w:val="14"/>
                <w:color w:val="auto"/>
              </w:rPr>
            </w:pPr>
          </w:p>
        </w:tc>
        <w:tc>
          <w:tcPr>
            <w:tcW w:w="1040" w:type="dxa"/>
            <w:vAlign w:val="bottom"/>
            <w:tcBorders>
              <w:bottom w:val="single" w:sz="8" w:color="002F4D"/>
            </w:tcBorders>
          </w:tcPr>
          <w:p>
            <w:pPr>
              <w:spacing w:after="0"/>
              <w:rPr>
                <w:sz w:val="14"/>
                <w:szCs w:val="14"/>
                <w:color w:val="auto"/>
              </w:rPr>
            </w:pPr>
          </w:p>
        </w:tc>
        <w:tc>
          <w:tcPr>
            <w:tcW w:w="880" w:type="dxa"/>
            <w:vAlign w:val="bottom"/>
            <w:tcBorders>
              <w:bottom w:val="single" w:sz="8" w:color="002F4D"/>
            </w:tcBorders>
          </w:tcPr>
          <w:p>
            <w:pPr>
              <w:spacing w:after="0"/>
              <w:rPr>
                <w:sz w:val="14"/>
                <w:szCs w:val="14"/>
                <w:color w:val="auto"/>
              </w:rPr>
            </w:pPr>
          </w:p>
        </w:tc>
        <w:tc>
          <w:tcPr>
            <w:tcW w:w="740" w:type="dxa"/>
            <w:vAlign w:val="bottom"/>
            <w:tcBorders>
              <w:bottom w:val="single" w:sz="8" w:color="002F4D"/>
            </w:tcBorders>
          </w:tcPr>
          <w:p>
            <w:pPr>
              <w:spacing w:after="0"/>
              <w:rPr>
                <w:sz w:val="14"/>
                <w:szCs w:val="14"/>
                <w:color w:val="auto"/>
              </w:rPr>
            </w:pPr>
          </w:p>
        </w:tc>
        <w:tc>
          <w:tcPr>
            <w:tcW w:w="200" w:type="dxa"/>
            <w:vAlign w:val="bottom"/>
            <w:tcBorders>
              <w:bottom w:val="single" w:sz="8" w:color="002F4D"/>
            </w:tcBorders>
          </w:tcPr>
          <w:p>
            <w:pPr>
              <w:spacing w:after="0"/>
              <w:rPr>
                <w:sz w:val="14"/>
                <w:szCs w:val="14"/>
                <w:color w:val="auto"/>
              </w:rPr>
            </w:pPr>
          </w:p>
        </w:tc>
        <w:tc>
          <w:tcPr>
            <w:tcW w:w="1120" w:type="dxa"/>
            <w:vAlign w:val="bottom"/>
            <w:tcBorders>
              <w:bottom w:val="single" w:sz="8" w:color="002F4D"/>
            </w:tcBorders>
          </w:tcPr>
          <w:p>
            <w:pPr>
              <w:spacing w:after="0"/>
              <w:rPr>
                <w:sz w:val="14"/>
                <w:szCs w:val="14"/>
                <w:color w:val="auto"/>
              </w:rPr>
            </w:pPr>
          </w:p>
        </w:tc>
        <w:tc>
          <w:tcPr>
            <w:tcW w:w="1060" w:type="dxa"/>
            <w:vAlign w:val="bottom"/>
            <w:tcBorders>
              <w:bottom w:val="single" w:sz="8" w:color="002F4D"/>
            </w:tcBorders>
          </w:tcPr>
          <w:p>
            <w:pPr>
              <w:spacing w:after="0"/>
              <w:rPr>
                <w:sz w:val="14"/>
                <w:szCs w:val="14"/>
                <w:color w:val="auto"/>
              </w:rPr>
            </w:pPr>
          </w:p>
        </w:tc>
        <w:tc>
          <w:tcPr>
            <w:tcW w:w="500" w:type="dxa"/>
            <w:vAlign w:val="bottom"/>
            <w:tcBorders>
              <w:bottom w:val="single" w:sz="8" w:color="002F4D"/>
            </w:tcBorders>
          </w:tcPr>
          <w:p>
            <w:pPr>
              <w:spacing w:after="0"/>
              <w:rPr>
                <w:sz w:val="14"/>
                <w:szCs w:val="14"/>
                <w:color w:val="auto"/>
              </w:rPr>
            </w:pPr>
          </w:p>
        </w:tc>
        <w:tc>
          <w:tcPr>
            <w:tcW w:w="100" w:type="dxa"/>
            <w:vAlign w:val="bottom"/>
            <w:tcBorders>
              <w:bottom w:val="single" w:sz="8" w:color="002F4D"/>
            </w:tcBorders>
          </w:tcPr>
          <w:p>
            <w:pPr>
              <w:spacing w:after="0"/>
              <w:rPr>
                <w:sz w:val="14"/>
                <w:szCs w:val="14"/>
                <w:color w:val="auto"/>
              </w:rPr>
            </w:pPr>
          </w:p>
        </w:tc>
        <w:tc>
          <w:tcPr>
            <w:tcW w:w="1440" w:type="dxa"/>
            <w:vAlign w:val="bottom"/>
            <w:tcBorders>
              <w:bottom w:val="single" w:sz="8" w:color="002F4D"/>
            </w:tcBorders>
          </w:tcPr>
          <w:p>
            <w:pPr>
              <w:spacing w:after="0"/>
              <w:rPr>
                <w:sz w:val="14"/>
                <w:szCs w:val="14"/>
                <w:color w:val="auto"/>
              </w:rPr>
            </w:pPr>
          </w:p>
        </w:tc>
        <w:tc>
          <w:tcPr>
            <w:tcW w:w="980" w:type="dxa"/>
            <w:vAlign w:val="bottom"/>
            <w:tcBorders>
              <w:bottom w:val="single" w:sz="8" w:color="002F4D"/>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960" w:type="dxa"/>
            <w:vAlign w:val="bottom"/>
            <w:tcBorders>
              <w:bottom w:val="single" w:sz="8" w:color="002F4D"/>
            </w:tcBorders>
          </w:tcPr>
          <w:p>
            <w:pPr>
              <w:spacing w:after="0"/>
              <w:rPr>
                <w:sz w:val="18"/>
                <w:szCs w:val="18"/>
                <w:color w:val="auto"/>
              </w:rPr>
            </w:pPr>
          </w:p>
        </w:tc>
        <w:tc>
          <w:tcPr>
            <w:tcW w:w="1220" w:type="dxa"/>
            <w:vAlign w:val="bottom"/>
            <w:tcBorders>
              <w:bottom w:val="single" w:sz="8" w:color="002F4D"/>
            </w:tcBorders>
          </w:tcPr>
          <w:p>
            <w:pPr>
              <w:jc w:val="right"/>
              <w:ind w:right="129"/>
              <w:spacing w:after="0"/>
              <w:rPr>
                <w:sz w:val="20"/>
                <w:szCs w:val="20"/>
                <w:color w:val="auto"/>
              </w:rPr>
            </w:pPr>
            <w:r>
              <w:rPr>
                <w:rFonts w:ascii="Arial" w:cs="Arial" w:eastAsia="Arial" w:hAnsi="Arial"/>
                <w:sz w:val="13"/>
                <w:szCs w:val="13"/>
                <w:color w:val="auto"/>
              </w:rPr>
              <w:t>(1)</w:t>
            </w:r>
          </w:p>
        </w:tc>
        <w:tc>
          <w:tcPr>
            <w:tcW w:w="1040" w:type="dxa"/>
            <w:vAlign w:val="bottom"/>
            <w:tcBorders>
              <w:bottom w:val="single" w:sz="8" w:color="002F4D"/>
            </w:tcBorders>
          </w:tcPr>
          <w:p>
            <w:pPr>
              <w:jc w:val="right"/>
              <w:ind w:right="85"/>
              <w:spacing w:after="0"/>
              <w:rPr>
                <w:sz w:val="20"/>
                <w:szCs w:val="20"/>
                <w:color w:val="auto"/>
              </w:rPr>
            </w:pPr>
            <w:r>
              <w:rPr>
                <w:rFonts w:ascii="Arial" w:cs="Arial" w:eastAsia="Arial" w:hAnsi="Arial"/>
                <w:sz w:val="15"/>
                <w:szCs w:val="15"/>
                <w:color w:val="auto"/>
              </w:rPr>
              <w:t>170,625</w:t>
            </w:r>
          </w:p>
        </w:tc>
        <w:tc>
          <w:tcPr>
            <w:tcW w:w="880" w:type="dxa"/>
            <w:vAlign w:val="bottom"/>
            <w:tcBorders>
              <w:bottom w:val="single" w:sz="8" w:color="002F4D"/>
            </w:tcBorders>
          </w:tcPr>
          <w:p>
            <w:pPr>
              <w:jc w:val="right"/>
              <w:ind w:right="84"/>
              <w:spacing w:after="0"/>
              <w:rPr>
                <w:sz w:val="20"/>
                <w:szCs w:val="20"/>
                <w:color w:val="auto"/>
              </w:rPr>
            </w:pPr>
            <w:r>
              <w:rPr>
                <w:rFonts w:ascii="Arial" w:cs="Arial" w:eastAsia="Arial" w:hAnsi="Arial"/>
                <w:sz w:val="15"/>
                <w:szCs w:val="15"/>
                <w:color w:val="auto"/>
              </w:rPr>
              <w:t>975,000</w:t>
            </w:r>
          </w:p>
        </w:tc>
        <w:tc>
          <w:tcPr>
            <w:tcW w:w="7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1,950,000</w:t>
            </w:r>
          </w:p>
        </w:tc>
        <w:tc>
          <w:tcPr>
            <w:tcW w:w="200" w:type="dxa"/>
            <w:vAlign w:val="bottom"/>
            <w:tcBorders>
              <w:bottom w:val="single" w:sz="8" w:color="002F4D"/>
            </w:tcBorders>
          </w:tcPr>
          <w:p>
            <w:pPr>
              <w:spacing w:after="0"/>
              <w:rPr>
                <w:sz w:val="18"/>
                <w:szCs w:val="18"/>
                <w:color w:val="auto"/>
              </w:rPr>
            </w:pPr>
          </w:p>
        </w:tc>
        <w:tc>
          <w:tcPr>
            <w:tcW w:w="1120" w:type="dxa"/>
            <w:vAlign w:val="bottom"/>
            <w:tcBorders>
              <w:bottom w:val="single" w:sz="8" w:color="002F4D"/>
            </w:tcBorders>
          </w:tcPr>
          <w:p>
            <w:pPr>
              <w:spacing w:after="0"/>
              <w:rPr>
                <w:sz w:val="18"/>
                <w:szCs w:val="18"/>
                <w:color w:val="auto"/>
              </w:rPr>
            </w:pPr>
          </w:p>
        </w:tc>
        <w:tc>
          <w:tcPr>
            <w:tcW w:w="1060" w:type="dxa"/>
            <w:vAlign w:val="bottom"/>
            <w:tcBorders>
              <w:bottom w:val="single" w:sz="8" w:color="002F4D"/>
            </w:tcBorders>
          </w:tcPr>
          <w:p>
            <w:pPr>
              <w:spacing w:after="0"/>
              <w:rPr>
                <w:sz w:val="18"/>
                <w:szCs w:val="18"/>
                <w:color w:val="auto"/>
              </w:rPr>
            </w:pPr>
          </w:p>
        </w:tc>
        <w:tc>
          <w:tcPr>
            <w:tcW w:w="500" w:type="dxa"/>
            <w:vAlign w:val="bottom"/>
            <w:tcBorders>
              <w:bottom w:val="single" w:sz="8" w:color="002F4D"/>
            </w:tcBorders>
          </w:tcPr>
          <w:p>
            <w:pPr>
              <w:spacing w:after="0"/>
              <w:rPr>
                <w:sz w:val="18"/>
                <w:szCs w:val="18"/>
                <w:color w:val="auto"/>
              </w:rPr>
            </w:pPr>
          </w:p>
        </w:tc>
        <w:tc>
          <w:tcPr>
            <w:tcW w:w="100" w:type="dxa"/>
            <w:vAlign w:val="bottom"/>
            <w:tcBorders>
              <w:bottom w:val="single" w:sz="8" w:color="002F4D"/>
            </w:tcBorders>
          </w:tcPr>
          <w:p>
            <w:pPr>
              <w:spacing w:after="0"/>
              <w:rPr>
                <w:sz w:val="18"/>
                <w:szCs w:val="18"/>
                <w:color w:val="auto"/>
              </w:rPr>
            </w:pPr>
          </w:p>
        </w:tc>
        <w:tc>
          <w:tcPr>
            <w:tcW w:w="1440" w:type="dxa"/>
            <w:vAlign w:val="bottom"/>
            <w:tcBorders>
              <w:bottom w:val="single" w:sz="8" w:color="002F4D"/>
            </w:tcBorders>
          </w:tcPr>
          <w:p>
            <w:pPr>
              <w:spacing w:after="0"/>
              <w:rPr>
                <w:sz w:val="18"/>
                <w:szCs w:val="18"/>
                <w:color w:val="auto"/>
              </w:rPr>
            </w:pPr>
          </w:p>
        </w:tc>
        <w:tc>
          <w:tcPr>
            <w:tcW w:w="980" w:type="dxa"/>
            <w:vAlign w:val="bottom"/>
            <w:tcBorders>
              <w:bottom w:val="single" w:sz="8" w:color="002F4D"/>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960" w:type="dxa"/>
            <w:vAlign w:val="bottom"/>
            <w:tcBorders>
              <w:bottom w:val="single" w:sz="8" w:color="002F4D"/>
            </w:tcBorders>
          </w:tcPr>
          <w:p>
            <w:pPr>
              <w:spacing w:after="0"/>
              <w:rPr>
                <w:sz w:val="18"/>
                <w:szCs w:val="18"/>
                <w:color w:val="auto"/>
              </w:rPr>
            </w:pPr>
          </w:p>
        </w:tc>
        <w:tc>
          <w:tcPr>
            <w:tcW w:w="1220" w:type="dxa"/>
            <w:vAlign w:val="bottom"/>
            <w:tcBorders>
              <w:bottom w:val="single" w:sz="8" w:color="002F4D"/>
            </w:tcBorders>
          </w:tcPr>
          <w:p>
            <w:pPr>
              <w:jc w:val="right"/>
              <w:spacing w:after="0" w:line="207" w:lineRule="exact"/>
              <w:rPr>
                <w:sz w:val="20"/>
                <w:szCs w:val="20"/>
                <w:color w:val="auto"/>
              </w:rPr>
            </w:pPr>
            <w:r>
              <w:rPr>
                <w:rFonts w:ascii="Arial" w:cs="Arial" w:eastAsia="Arial" w:hAnsi="Arial"/>
                <w:sz w:val="15"/>
                <w:szCs w:val="15"/>
                <w:color w:val="auto"/>
              </w:rPr>
              <w:t>5/13/25</w:t>
            </w:r>
            <w:r>
              <w:rPr>
                <w:rFonts w:ascii="Arial" w:cs="Arial" w:eastAsia="Arial" w:hAnsi="Arial"/>
                <w:sz w:val="24"/>
                <w:szCs w:val="24"/>
                <w:color w:val="auto"/>
                <w:vertAlign w:val="superscript"/>
              </w:rPr>
              <w:t>(3)(4)</w:t>
            </w:r>
          </w:p>
        </w:tc>
        <w:tc>
          <w:tcPr>
            <w:tcW w:w="1040" w:type="dxa"/>
            <w:vAlign w:val="bottom"/>
            <w:tcBorders>
              <w:bottom w:val="single" w:sz="8" w:color="002F4D"/>
            </w:tcBorders>
          </w:tcPr>
          <w:p>
            <w:pPr>
              <w:spacing w:after="0"/>
              <w:rPr>
                <w:sz w:val="18"/>
                <w:szCs w:val="18"/>
                <w:color w:val="auto"/>
              </w:rPr>
            </w:pPr>
          </w:p>
        </w:tc>
        <w:tc>
          <w:tcPr>
            <w:tcW w:w="880" w:type="dxa"/>
            <w:vAlign w:val="bottom"/>
            <w:tcBorders>
              <w:bottom w:val="single" w:sz="8" w:color="002F4D"/>
            </w:tcBorders>
          </w:tcPr>
          <w:p>
            <w:pPr>
              <w:spacing w:after="0"/>
              <w:rPr>
                <w:sz w:val="18"/>
                <w:szCs w:val="18"/>
                <w:color w:val="auto"/>
              </w:rPr>
            </w:pPr>
          </w:p>
        </w:tc>
        <w:tc>
          <w:tcPr>
            <w:tcW w:w="740" w:type="dxa"/>
            <w:vAlign w:val="bottom"/>
            <w:tcBorders>
              <w:bottom w:val="single" w:sz="8" w:color="002F4D"/>
            </w:tcBorders>
          </w:tcPr>
          <w:p>
            <w:pPr>
              <w:spacing w:after="0"/>
              <w:rPr>
                <w:sz w:val="18"/>
                <w:szCs w:val="18"/>
                <w:color w:val="auto"/>
              </w:rPr>
            </w:pPr>
          </w:p>
        </w:tc>
        <w:tc>
          <w:tcPr>
            <w:tcW w:w="200" w:type="dxa"/>
            <w:vAlign w:val="bottom"/>
            <w:tcBorders>
              <w:bottom w:val="single" w:sz="8" w:color="002F4D"/>
            </w:tcBorders>
          </w:tcPr>
          <w:p>
            <w:pPr>
              <w:spacing w:after="0"/>
              <w:rPr>
                <w:sz w:val="18"/>
                <w:szCs w:val="18"/>
                <w:color w:val="auto"/>
              </w:rPr>
            </w:pPr>
          </w:p>
        </w:tc>
        <w:tc>
          <w:tcPr>
            <w:tcW w:w="1120" w:type="dxa"/>
            <w:vAlign w:val="bottom"/>
            <w:tcBorders>
              <w:bottom w:val="single" w:sz="8" w:color="002F4D"/>
            </w:tcBorders>
          </w:tcPr>
          <w:p>
            <w:pPr>
              <w:jc w:val="right"/>
              <w:ind w:right="144"/>
              <w:spacing w:after="0"/>
              <w:rPr>
                <w:sz w:val="20"/>
                <w:szCs w:val="20"/>
                <w:color w:val="auto"/>
              </w:rPr>
            </w:pPr>
            <w:r>
              <w:rPr>
                <w:rFonts w:ascii="Arial" w:cs="Arial" w:eastAsia="Arial" w:hAnsi="Arial"/>
                <w:sz w:val="15"/>
                <w:szCs w:val="15"/>
                <w:color w:val="auto"/>
              </w:rPr>
              <w:t>10,181</w:t>
            </w:r>
          </w:p>
        </w:tc>
        <w:tc>
          <w:tcPr>
            <w:tcW w:w="1060" w:type="dxa"/>
            <w:vAlign w:val="bottom"/>
            <w:tcBorders>
              <w:bottom w:val="single" w:sz="8" w:color="002F4D"/>
            </w:tcBorders>
          </w:tcPr>
          <w:p>
            <w:pPr>
              <w:jc w:val="right"/>
              <w:ind w:right="324"/>
              <w:spacing w:after="0"/>
              <w:rPr>
                <w:sz w:val="20"/>
                <w:szCs w:val="20"/>
                <w:color w:val="auto"/>
              </w:rPr>
            </w:pPr>
            <w:r>
              <w:rPr>
                <w:rFonts w:ascii="Arial" w:cs="Arial" w:eastAsia="Arial" w:hAnsi="Arial"/>
                <w:sz w:val="15"/>
                <w:szCs w:val="15"/>
                <w:color w:val="auto"/>
              </w:rPr>
              <w:t>29,086</w:t>
            </w:r>
          </w:p>
        </w:tc>
        <w:tc>
          <w:tcPr>
            <w:tcW w:w="50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75,264</w:t>
            </w:r>
          </w:p>
        </w:tc>
        <w:tc>
          <w:tcPr>
            <w:tcW w:w="100" w:type="dxa"/>
            <w:vAlign w:val="bottom"/>
            <w:tcBorders>
              <w:bottom w:val="single" w:sz="8" w:color="002F4D"/>
            </w:tcBorders>
          </w:tcPr>
          <w:p>
            <w:pPr>
              <w:spacing w:after="0"/>
              <w:rPr>
                <w:sz w:val="18"/>
                <w:szCs w:val="18"/>
                <w:color w:val="auto"/>
              </w:rPr>
            </w:pPr>
          </w:p>
        </w:tc>
        <w:tc>
          <w:tcPr>
            <w:tcW w:w="1440" w:type="dxa"/>
            <w:vAlign w:val="bottom"/>
            <w:tcBorders>
              <w:bottom w:val="single" w:sz="8" w:color="002F4D"/>
            </w:tcBorders>
          </w:tcPr>
          <w:p>
            <w:pPr>
              <w:spacing w:after="0"/>
              <w:rPr>
                <w:sz w:val="18"/>
                <w:szCs w:val="18"/>
                <w:color w:val="auto"/>
              </w:rPr>
            </w:pPr>
          </w:p>
        </w:tc>
        <w:tc>
          <w:tcPr>
            <w:tcW w:w="98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5,040,313</w:t>
            </w:r>
          </w:p>
        </w:tc>
        <w:tc>
          <w:tcPr>
            <w:tcW w:w="0" w:type="dxa"/>
            <w:vAlign w:val="bottom"/>
          </w:tcPr>
          <w:p>
            <w:pPr>
              <w:spacing w:after="0"/>
              <w:rPr>
                <w:sz w:val="1"/>
                <w:szCs w:val="1"/>
                <w:color w:val="auto"/>
              </w:rPr>
            </w:pPr>
          </w:p>
        </w:tc>
      </w:tr>
      <w:tr>
        <w:trPr>
          <w:trHeight w:val="207"/>
        </w:trPr>
        <w:tc>
          <w:tcPr>
            <w:tcW w:w="1960" w:type="dxa"/>
            <w:vAlign w:val="bottom"/>
            <w:tcBorders>
              <w:bottom w:val="single" w:sz="8" w:color="002F4D"/>
            </w:tcBorders>
          </w:tcPr>
          <w:p>
            <w:pPr>
              <w:spacing w:after="0"/>
              <w:rPr>
                <w:sz w:val="18"/>
                <w:szCs w:val="18"/>
                <w:color w:val="auto"/>
              </w:rPr>
            </w:pPr>
          </w:p>
        </w:tc>
        <w:tc>
          <w:tcPr>
            <w:tcW w:w="1220" w:type="dxa"/>
            <w:vAlign w:val="bottom"/>
            <w:tcBorders>
              <w:bottom w:val="single" w:sz="8" w:color="002F4D"/>
            </w:tcBorders>
          </w:tcPr>
          <w:p>
            <w:pPr>
              <w:jc w:val="right"/>
              <w:ind w:right="129"/>
              <w:spacing w:after="0" w:line="207" w:lineRule="exact"/>
              <w:rPr>
                <w:sz w:val="20"/>
                <w:szCs w:val="20"/>
                <w:color w:val="auto"/>
              </w:rPr>
            </w:pPr>
            <w:r>
              <w:rPr>
                <w:rFonts w:ascii="Arial" w:cs="Arial" w:eastAsia="Arial" w:hAnsi="Arial"/>
                <w:sz w:val="15"/>
                <w:szCs w:val="15"/>
                <w:color w:val="auto"/>
              </w:rPr>
              <w:t>5/13/25</w:t>
            </w:r>
            <w:r>
              <w:rPr>
                <w:rFonts w:ascii="Arial" w:cs="Arial" w:eastAsia="Arial" w:hAnsi="Arial"/>
                <w:sz w:val="24"/>
                <w:szCs w:val="24"/>
                <w:color w:val="auto"/>
                <w:vertAlign w:val="superscript"/>
              </w:rPr>
              <w:t>(5)</w:t>
            </w:r>
          </w:p>
        </w:tc>
        <w:tc>
          <w:tcPr>
            <w:tcW w:w="1040" w:type="dxa"/>
            <w:vAlign w:val="bottom"/>
            <w:tcBorders>
              <w:bottom w:val="single" w:sz="8" w:color="002F4D"/>
            </w:tcBorders>
          </w:tcPr>
          <w:p>
            <w:pPr>
              <w:spacing w:after="0"/>
              <w:rPr>
                <w:sz w:val="18"/>
                <w:szCs w:val="18"/>
                <w:color w:val="auto"/>
              </w:rPr>
            </w:pPr>
          </w:p>
        </w:tc>
        <w:tc>
          <w:tcPr>
            <w:tcW w:w="880" w:type="dxa"/>
            <w:vAlign w:val="bottom"/>
            <w:tcBorders>
              <w:bottom w:val="single" w:sz="8" w:color="002F4D"/>
            </w:tcBorders>
          </w:tcPr>
          <w:p>
            <w:pPr>
              <w:spacing w:after="0"/>
              <w:rPr>
                <w:sz w:val="18"/>
                <w:szCs w:val="18"/>
                <w:color w:val="auto"/>
              </w:rPr>
            </w:pPr>
          </w:p>
        </w:tc>
        <w:tc>
          <w:tcPr>
            <w:tcW w:w="740" w:type="dxa"/>
            <w:vAlign w:val="bottom"/>
            <w:tcBorders>
              <w:bottom w:val="single" w:sz="8" w:color="002F4D"/>
            </w:tcBorders>
          </w:tcPr>
          <w:p>
            <w:pPr>
              <w:spacing w:after="0"/>
              <w:rPr>
                <w:sz w:val="18"/>
                <w:szCs w:val="18"/>
                <w:color w:val="auto"/>
              </w:rPr>
            </w:pPr>
          </w:p>
        </w:tc>
        <w:tc>
          <w:tcPr>
            <w:tcW w:w="200" w:type="dxa"/>
            <w:vAlign w:val="bottom"/>
            <w:tcBorders>
              <w:bottom w:val="single" w:sz="8" w:color="002F4D"/>
            </w:tcBorders>
          </w:tcPr>
          <w:p>
            <w:pPr>
              <w:spacing w:after="0"/>
              <w:rPr>
                <w:sz w:val="18"/>
                <w:szCs w:val="18"/>
                <w:color w:val="auto"/>
              </w:rPr>
            </w:pPr>
          </w:p>
        </w:tc>
        <w:tc>
          <w:tcPr>
            <w:tcW w:w="1120" w:type="dxa"/>
            <w:vAlign w:val="bottom"/>
            <w:tcBorders>
              <w:bottom w:val="single" w:sz="8" w:color="002F4D"/>
            </w:tcBorders>
          </w:tcPr>
          <w:p>
            <w:pPr>
              <w:spacing w:after="0"/>
              <w:rPr>
                <w:sz w:val="18"/>
                <w:szCs w:val="18"/>
                <w:color w:val="auto"/>
              </w:rPr>
            </w:pPr>
          </w:p>
        </w:tc>
        <w:tc>
          <w:tcPr>
            <w:tcW w:w="1060" w:type="dxa"/>
            <w:vAlign w:val="bottom"/>
            <w:tcBorders>
              <w:bottom w:val="single" w:sz="8" w:color="002F4D"/>
            </w:tcBorders>
          </w:tcPr>
          <w:p>
            <w:pPr>
              <w:spacing w:after="0"/>
              <w:rPr>
                <w:sz w:val="18"/>
                <w:szCs w:val="18"/>
                <w:color w:val="auto"/>
              </w:rPr>
            </w:pPr>
          </w:p>
        </w:tc>
        <w:tc>
          <w:tcPr>
            <w:tcW w:w="500" w:type="dxa"/>
            <w:vAlign w:val="bottom"/>
            <w:tcBorders>
              <w:bottom w:val="single" w:sz="8" w:color="002F4D"/>
            </w:tcBorders>
          </w:tcPr>
          <w:p>
            <w:pPr>
              <w:spacing w:after="0"/>
              <w:rPr>
                <w:sz w:val="18"/>
                <w:szCs w:val="18"/>
                <w:color w:val="auto"/>
              </w:rPr>
            </w:pPr>
          </w:p>
        </w:tc>
        <w:tc>
          <w:tcPr>
            <w:tcW w:w="100" w:type="dxa"/>
            <w:vAlign w:val="bottom"/>
            <w:tcBorders>
              <w:bottom w:val="single" w:sz="8" w:color="002F4D"/>
            </w:tcBorders>
          </w:tcPr>
          <w:p>
            <w:pPr>
              <w:spacing w:after="0"/>
              <w:rPr>
                <w:sz w:val="18"/>
                <w:szCs w:val="18"/>
                <w:color w:val="auto"/>
              </w:rPr>
            </w:pPr>
          </w:p>
        </w:tc>
        <w:tc>
          <w:tcPr>
            <w:tcW w:w="1440" w:type="dxa"/>
            <w:vAlign w:val="bottom"/>
            <w:tcBorders>
              <w:bottom w:val="single" w:sz="8" w:color="002F4D"/>
            </w:tcBorders>
          </w:tcPr>
          <w:p>
            <w:pPr>
              <w:jc w:val="right"/>
              <w:ind w:right="44"/>
              <w:spacing w:after="0"/>
              <w:rPr>
                <w:sz w:val="20"/>
                <w:szCs w:val="20"/>
                <w:color w:val="auto"/>
              </w:rPr>
            </w:pPr>
            <w:r>
              <w:rPr>
                <w:rFonts w:ascii="Arial" w:cs="Arial" w:eastAsia="Arial" w:hAnsi="Arial"/>
                <w:sz w:val="15"/>
                <w:szCs w:val="15"/>
                <w:color w:val="auto"/>
              </w:rPr>
              <w:t>14,544</w:t>
            </w:r>
          </w:p>
        </w:tc>
        <w:tc>
          <w:tcPr>
            <w:tcW w:w="98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2,180,291</w:t>
            </w:r>
          </w:p>
        </w:tc>
        <w:tc>
          <w:tcPr>
            <w:tcW w:w="0" w:type="dxa"/>
            <w:vAlign w:val="bottom"/>
          </w:tcPr>
          <w:p>
            <w:pPr>
              <w:spacing w:after="0"/>
              <w:rPr>
                <w:sz w:val="1"/>
                <w:szCs w:val="1"/>
                <w:color w:val="auto"/>
              </w:rPr>
            </w:pPr>
          </w:p>
        </w:tc>
      </w:tr>
      <w:tr>
        <w:trPr>
          <w:trHeight w:val="169"/>
        </w:trPr>
        <w:tc>
          <w:tcPr>
            <w:tcW w:w="196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b w:val="1"/>
                <w:bCs w:val="1"/>
                <w:color w:val="auto"/>
              </w:rPr>
              <w:t>Bryan E. Mittelman</w:t>
            </w:r>
          </w:p>
        </w:tc>
        <w:tc>
          <w:tcPr>
            <w:tcW w:w="1220" w:type="dxa"/>
            <w:vAlign w:val="bottom"/>
            <w:tcBorders>
              <w:bottom w:val="single" w:sz="8" w:color="002F4D"/>
            </w:tcBorders>
          </w:tcPr>
          <w:p>
            <w:pPr>
              <w:spacing w:after="0"/>
              <w:rPr>
                <w:sz w:val="14"/>
                <w:szCs w:val="14"/>
                <w:color w:val="auto"/>
              </w:rPr>
            </w:pPr>
          </w:p>
        </w:tc>
        <w:tc>
          <w:tcPr>
            <w:tcW w:w="1040" w:type="dxa"/>
            <w:vAlign w:val="bottom"/>
            <w:tcBorders>
              <w:bottom w:val="single" w:sz="8" w:color="002F4D"/>
            </w:tcBorders>
          </w:tcPr>
          <w:p>
            <w:pPr>
              <w:spacing w:after="0"/>
              <w:rPr>
                <w:sz w:val="14"/>
                <w:szCs w:val="14"/>
                <w:color w:val="auto"/>
              </w:rPr>
            </w:pPr>
          </w:p>
        </w:tc>
        <w:tc>
          <w:tcPr>
            <w:tcW w:w="880" w:type="dxa"/>
            <w:vAlign w:val="bottom"/>
            <w:tcBorders>
              <w:bottom w:val="single" w:sz="8" w:color="002F4D"/>
            </w:tcBorders>
          </w:tcPr>
          <w:p>
            <w:pPr>
              <w:spacing w:after="0"/>
              <w:rPr>
                <w:sz w:val="14"/>
                <w:szCs w:val="14"/>
                <w:color w:val="auto"/>
              </w:rPr>
            </w:pPr>
          </w:p>
        </w:tc>
        <w:tc>
          <w:tcPr>
            <w:tcW w:w="740" w:type="dxa"/>
            <w:vAlign w:val="bottom"/>
            <w:tcBorders>
              <w:bottom w:val="single" w:sz="8" w:color="002F4D"/>
            </w:tcBorders>
          </w:tcPr>
          <w:p>
            <w:pPr>
              <w:spacing w:after="0"/>
              <w:rPr>
                <w:sz w:val="14"/>
                <w:szCs w:val="14"/>
                <w:color w:val="auto"/>
              </w:rPr>
            </w:pPr>
          </w:p>
        </w:tc>
        <w:tc>
          <w:tcPr>
            <w:tcW w:w="200" w:type="dxa"/>
            <w:vAlign w:val="bottom"/>
            <w:tcBorders>
              <w:bottom w:val="single" w:sz="8" w:color="002F4D"/>
            </w:tcBorders>
          </w:tcPr>
          <w:p>
            <w:pPr>
              <w:spacing w:after="0"/>
              <w:rPr>
                <w:sz w:val="14"/>
                <w:szCs w:val="14"/>
                <w:color w:val="auto"/>
              </w:rPr>
            </w:pPr>
          </w:p>
        </w:tc>
        <w:tc>
          <w:tcPr>
            <w:tcW w:w="1120" w:type="dxa"/>
            <w:vAlign w:val="bottom"/>
            <w:tcBorders>
              <w:bottom w:val="single" w:sz="8" w:color="002F4D"/>
            </w:tcBorders>
          </w:tcPr>
          <w:p>
            <w:pPr>
              <w:spacing w:after="0"/>
              <w:rPr>
                <w:sz w:val="14"/>
                <w:szCs w:val="14"/>
                <w:color w:val="auto"/>
              </w:rPr>
            </w:pPr>
          </w:p>
        </w:tc>
        <w:tc>
          <w:tcPr>
            <w:tcW w:w="1060" w:type="dxa"/>
            <w:vAlign w:val="bottom"/>
            <w:tcBorders>
              <w:bottom w:val="single" w:sz="8" w:color="002F4D"/>
            </w:tcBorders>
          </w:tcPr>
          <w:p>
            <w:pPr>
              <w:spacing w:after="0"/>
              <w:rPr>
                <w:sz w:val="14"/>
                <w:szCs w:val="14"/>
                <w:color w:val="auto"/>
              </w:rPr>
            </w:pPr>
          </w:p>
        </w:tc>
        <w:tc>
          <w:tcPr>
            <w:tcW w:w="500" w:type="dxa"/>
            <w:vAlign w:val="bottom"/>
            <w:tcBorders>
              <w:bottom w:val="single" w:sz="8" w:color="002F4D"/>
            </w:tcBorders>
          </w:tcPr>
          <w:p>
            <w:pPr>
              <w:spacing w:after="0"/>
              <w:rPr>
                <w:sz w:val="14"/>
                <w:szCs w:val="14"/>
                <w:color w:val="auto"/>
              </w:rPr>
            </w:pPr>
          </w:p>
        </w:tc>
        <w:tc>
          <w:tcPr>
            <w:tcW w:w="100" w:type="dxa"/>
            <w:vAlign w:val="bottom"/>
            <w:tcBorders>
              <w:bottom w:val="single" w:sz="8" w:color="002F4D"/>
            </w:tcBorders>
          </w:tcPr>
          <w:p>
            <w:pPr>
              <w:spacing w:after="0"/>
              <w:rPr>
                <w:sz w:val="14"/>
                <w:szCs w:val="14"/>
                <w:color w:val="auto"/>
              </w:rPr>
            </w:pPr>
          </w:p>
        </w:tc>
        <w:tc>
          <w:tcPr>
            <w:tcW w:w="1440" w:type="dxa"/>
            <w:vAlign w:val="bottom"/>
            <w:tcBorders>
              <w:bottom w:val="single" w:sz="8" w:color="002F4D"/>
            </w:tcBorders>
          </w:tcPr>
          <w:p>
            <w:pPr>
              <w:spacing w:after="0"/>
              <w:rPr>
                <w:sz w:val="14"/>
                <w:szCs w:val="14"/>
                <w:color w:val="auto"/>
              </w:rPr>
            </w:pPr>
          </w:p>
        </w:tc>
        <w:tc>
          <w:tcPr>
            <w:tcW w:w="980" w:type="dxa"/>
            <w:vAlign w:val="bottom"/>
            <w:tcBorders>
              <w:bottom w:val="single" w:sz="8" w:color="002F4D"/>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960" w:type="dxa"/>
            <w:vAlign w:val="bottom"/>
            <w:tcBorders>
              <w:bottom w:val="single" w:sz="8" w:color="002F4D"/>
            </w:tcBorders>
          </w:tcPr>
          <w:p>
            <w:pPr>
              <w:spacing w:after="0"/>
              <w:rPr>
                <w:sz w:val="18"/>
                <w:szCs w:val="18"/>
                <w:color w:val="auto"/>
              </w:rPr>
            </w:pPr>
          </w:p>
        </w:tc>
        <w:tc>
          <w:tcPr>
            <w:tcW w:w="1220" w:type="dxa"/>
            <w:vAlign w:val="bottom"/>
            <w:tcBorders>
              <w:bottom w:val="single" w:sz="8" w:color="002F4D"/>
            </w:tcBorders>
          </w:tcPr>
          <w:p>
            <w:pPr>
              <w:jc w:val="right"/>
              <w:ind w:right="129"/>
              <w:spacing w:after="0"/>
              <w:rPr>
                <w:sz w:val="20"/>
                <w:szCs w:val="20"/>
                <w:color w:val="auto"/>
              </w:rPr>
            </w:pPr>
            <w:r>
              <w:rPr>
                <w:rFonts w:ascii="Arial" w:cs="Arial" w:eastAsia="Arial" w:hAnsi="Arial"/>
                <w:sz w:val="13"/>
                <w:szCs w:val="13"/>
                <w:color w:val="auto"/>
              </w:rPr>
              <w:t>(1)</w:t>
            </w:r>
          </w:p>
        </w:tc>
        <w:tc>
          <w:tcPr>
            <w:tcW w:w="1040" w:type="dxa"/>
            <w:vAlign w:val="bottom"/>
            <w:tcBorders>
              <w:bottom w:val="single" w:sz="8" w:color="002F4D"/>
            </w:tcBorders>
          </w:tcPr>
          <w:p>
            <w:pPr>
              <w:jc w:val="right"/>
              <w:ind w:right="85"/>
              <w:spacing w:after="0"/>
              <w:rPr>
                <w:sz w:val="20"/>
                <w:szCs w:val="20"/>
                <w:color w:val="auto"/>
              </w:rPr>
            </w:pPr>
            <w:r>
              <w:rPr>
                <w:rFonts w:ascii="Arial" w:cs="Arial" w:eastAsia="Arial" w:hAnsi="Arial"/>
                <w:sz w:val="15"/>
                <w:szCs w:val="15"/>
                <w:color w:val="auto"/>
              </w:rPr>
              <w:t>99,138</w:t>
            </w:r>
          </w:p>
        </w:tc>
        <w:tc>
          <w:tcPr>
            <w:tcW w:w="880" w:type="dxa"/>
            <w:vAlign w:val="bottom"/>
            <w:tcBorders>
              <w:bottom w:val="single" w:sz="8" w:color="002F4D"/>
            </w:tcBorders>
          </w:tcPr>
          <w:p>
            <w:pPr>
              <w:jc w:val="right"/>
              <w:ind w:right="84"/>
              <w:spacing w:after="0"/>
              <w:rPr>
                <w:sz w:val="20"/>
                <w:szCs w:val="20"/>
                <w:color w:val="auto"/>
              </w:rPr>
            </w:pPr>
            <w:r>
              <w:rPr>
                <w:rFonts w:ascii="Arial" w:cs="Arial" w:eastAsia="Arial" w:hAnsi="Arial"/>
                <w:sz w:val="15"/>
                <w:szCs w:val="15"/>
                <w:color w:val="auto"/>
              </w:rPr>
              <w:t>566,500</w:t>
            </w:r>
          </w:p>
        </w:tc>
        <w:tc>
          <w:tcPr>
            <w:tcW w:w="7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1,133,000</w:t>
            </w:r>
          </w:p>
        </w:tc>
        <w:tc>
          <w:tcPr>
            <w:tcW w:w="200" w:type="dxa"/>
            <w:vAlign w:val="bottom"/>
            <w:tcBorders>
              <w:bottom w:val="single" w:sz="8" w:color="002F4D"/>
            </w:tcBorders>
          </w:tcPr>
          <w:p>
            <w:pPr>
              <w:spacing w:after="0"/>
              <w:rPr>
                <w:sz w:val="18"/>
                <w:szCs w:val="18"/>
                <w:color w:val="auto"/>
              </w:rPr>
            </w:pPr>
          </w:p>
        </w:tc>
        <w:tc>
          <w:tcPr>
            <w:tcW w:w="1120" w:type="dxa"/>
            <w:vAlign w:val="bottom"/>
            <w:tcBorders>
              <w:bottom w:val="single" w:sz="8" w:color="002F4D"/>
            </w:tcBorders>
          </w:tcPr>
          <w:p>
            <w:pPr>
              <w:spacing w:after="0"/>
              <w:rPr>
                <w:sz w:val="18"/>
                <w:szCs w:val="18"/>
                <w:color w:val="auto"/>
              </w:rPr>
            </w:pPr>
          </w:p>
        </w:tc>
        <w:tc>
          <w:tcPr>
            <w:tcW w:w="1060" w:type="dxa"/>
            <w:vAlign w:val="bottom"/>
            <w:tcBorders>
              <w:bottom w:val="single" w:sz="8" w:color="002F4D"/>
            </w:tcBorders>
          </w:tcPr>
          <w:p>
            <w:pPr>
              <w:spacing w:after="0"/>
              <w:rPr>
                <w:sz w:val="18"/>
                <w:szCs w:val="18"/>
                <w:color w:val="auto"/>
              </w:rPr>
            </w:pPr>
          </w:p>
        </w:tc>
        <w:tc>
          <w:tcPr>
            <w:tcW w:w="500" w:type="dxa"/>
            <w:vAlign w:val="bottom"/>
            <w:tcBorders>
              <w:bottom w:val="single" w:sz="8" w:color="002F4D"/>
            </w:tcBorders>
          </w:tcPr>
          <w:p>
            <w:pPr>
              <w:spacing w:after="0"/>
              <w:rPr>
                <w:sz w:val="18"/>
                <w:szCs w:val="18"/>
                <w:color w:val="auto"/>
              </w:rPr>
            </w:pPr>
          </w:p>
        </w:tc>
        <w:tc>
          <w:tcPr>
            <w:tcW w:w="100" w:type="dxa"/>
            <w:vAlign w:val="bottom"/>
            <w:tcBorders>
              <w:bottom w:val="single" w:sz="8" w:color="002F4D"/>
            </w:tcBorders>
          </w:tcPr>
          <w:p>
            <w:pPr>
              <w:spacing w:after="0"/>
              <w:rPr>
                <w:sz w:val="18"/>
                <w:szCs w:val="18"/>
                <w:color w:val="auto"/>
              </w:rPr>
            </w:pPr>
          </w:p>
        </w:tc>
        <w:tc>
          <w:tcPr>
            <w:tcW w:w="1440" w:type="dxa"/>
            <w:vAlign w:val="bottom"/>
            <w:tcBorders>
              <w:bottom w:val="single" w:sz="8" w:color="002F4D"/>
            </w:tcBorders>
          </w:tcPr>
          <w:p>
            <w:pPr>
              <w:spacing w:after="0"/>
              <w:rPr>
                <w:sz w:val="18"/>
                <w:szCs w:val="18"/>
                <w:color w:val="auto"/>
              </w:rPr>
            </w:pPr>
          </w:p>
        </w:tc>
        <w:tc>
          <w:tcPr>
            <w:tcW w:w="980" w:type="dxa"/>
            <w:vAlign w:val="bottom"/>
            <w:tcBorders>
              <w:bottom w:val="single" w:sz="8" w:color="002F4D"/>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960" w:type="dxa"/>
            <w:vAlign w:val="bottom"/>
            <w:tcBorders>
              <w:bottom w:val="single" w:sz="8" w:color="002F4D"/>
            </w:tcBorders>
          </w:tcPr>
          <w:p>
            <w:pPr>
              <w:spacing w:after="0"/>
              <w:rPr>
                <w:sz w:val="18"/>
                <w:szCs w:val="18"/>
                <w:color w:val="auto"/>
              </w:rPr>
            </w:pPr>
          </w:p>
        </w:tc>
        <w:tc>
          <w:tcPr>
            <w:tcW w:w="1220" w:type="dxa"/>
            <w:vAlign w:val="bottom"/>
            <w:tcBorders>
              <w:bottom w:val="single" w:sz="8" w:color="002F4D"/>
            </w:tcBorders>
          </w:tcPr>
          <w:p>
            <w:pPr>
              <w:jc w:val="right"/>
              <w:spacing w:after="0" w:line="207" w:lineRule="exact"/>
              <w:rPr>
                <w:sz w:val="20"/>
                <w:szCs w:val="20"/>
                <w:color w:val="auto"/>
              </w:rPr>
            </w:pPr>
            <w:r>
              <w:rPr>
                <w:rFonts w:ascii="Arial" w:cs="Arial" w:eastAsia="Arial" w:hAnsi="Arial"/>
                <w:sz w:val="15"/>
                <w:szCs w:val="15"/>
                <w:color w:val="auto"/>
              </w:rPr>
              <w:t>5/13/25</w:t>
            </w:r>
            <w:r>
              <w:rPr>
                <w:rFonts w:ascii="Arial" w:cs="Arial" w:eastAsia="Arial" w:hAnsi="Arial"/>
                <w:sz w:val="24"/>
                <w:szCs w:val="24"/>
                <w:color w:val="auto"/>
                <w:vertAlign w:val="superscript"/>
              </w:rPr>
              <w:t>(3)(4)</w:t>
            </w:r>
          </w:p>
        </w:tc>
        <w:tc>
          <w:tcPr>
            <w:tcW w:w="1040" w:type="dxa"/>
            <w:vAlign w:val="bottom"/>
            <w:tcBorders>
              <w:bottom w:val="single" w:sz="8" w:color="002F4D"/>
            </w:tcBorders>
          </w:tcPr>
          <w:p>
            <w:pPr>
              <w:spacing w:after="0"/>
              <w:rPr>
                <w:sz w:val="18"/>
                <w:szCs w:val="18"/>
                <w:color w:val="auto"/>
              </w:rPr>
            </w:pPr>
          </w:p>
        </w:tc>
        <w:tc>
          <w:tcPr>
            <w:tcW w:w="880" w:type="dxa"/>
            <w:vAlign w:val="bottom"/>
            <w:tcBorders>
              <w:bottom w:val="single" w:sz="8" w:color="002F4D"/>
            </w:tcBorders>
          </w:tcPr>
          <w:p>
            <w:pPr>
              <w:spacing w:after="0"/>
              <w:rPr>
                <w:sz w:val="18"/>
                <w:szCs w:val="18"/>
                <w:color w:val="auto"/>
              </w:rPr>
            </w:pPr>
          </w:p>
        </w:tc>
        <w:tc>
          <w:tcPr>
            <w:tcW w:w="740" w:type="dxa"/>
            <w:vAlign w:val="bottom"/>
            <w:tcBorders>
              <w:bottom w:val="single" w:sz="8" w:color="002F4D"/>
            </w:tcBorders>
          </w:tcPr>
          <w:p>
            <w:pPr>
              <w:spacing w:after="0"/>
              <w:rPr>
                <w:sz w:val="18"/>
                <w:szCs w:val="18"/>
                <w:color w:val="auto"/>
              </w:rPr>
            </w:pPr>
          </w:p>
        </w:tc>
        <w:tc>
          <w:tcPr>
            <w:tcW w:w="200" w:type="dxa"/>
            <w:vAlign w:val="bottom"/>
            <w:tcBorders>
              <w:bottom w:val="single" w:sz="8" w:color="002F4D"/>
            </w:tcBorders>
          </w:tcPr>
          <w:p>
            <w:pPr>
              <w:spacing w:after="0"/>
              <w:rPr>
                <w:sz w:val="18"/>
                <w:szCs w:val="18"/>
                <w:color w:val="auto"/>
              </w:rPr>
            </w:pPr>
          </w:p>
        </w:tc>
        <w:tc>
          <w:tcPr>
            <w:tcW w:w="1120" w:type="dxa"/>
            <w:vAlign w:val="bottom"/>
            <w:tcBorders>
              <w:bottom w:val="single" w:sz="8" w:color="002F4D"/>
            </w:tcBorders>
          </w:tcPr>
          <w:p>
            <w:pPr>
              <w:jc w:val="right"/>
              <w:ind w:right="144"/>
              <w:spacing w:after="0"/>
              <w:rPr>
                <w:sz w:val="20"/>
                <w:szCs w:val="20"/>
                <w:color w:val="auto"/>
              </w:rPr>
            </w:pPr>
            <w:r>
              <w:rPr>
                <w:rFonts w:ascii="Arial" w:cs="Arial" w:eastAsia="Arial" w:hAnsi="Arial"/>
                <w:sz w:val="15"/>
                <w:szCs w:val="15"/>
                <w:color w:val="auto"/>
              </w:rPr>
              <w:t>3,047</w:t>
            </w:r>
          </w:p>
        </w:tc>
        <w:tc>
          <w:tcPr>
            <w:tcW w:w="1060" w:type="dxa"/>
            <w:vAlign w:val="bottom"/>
            <w:tcBorders>
              <w:bottom w:val="single" w:sz="8" w:color="002F4D"/>
            </w:tcBorders>
          </w:tcPr>
          <w:p>
            <w:pPr>
              <w:jc w:val="right"/>
              <w:ind w:right="324"/>
              <w:spacing w:after="0"/>
              <w:rPr>
                <w:sz w:val="20"/>
                <w:szCs w:val="20"/>
                <w:color w:val="auto"/>
              </w:rPr>
            </w:pPr>
            <w:r>
              <w:rPr>
                <w:rFonts w:ascii="Arial" w:cs="Arial" w:eastAsia="Arial" w:hAnsi="Arial"/>
                <w:sz w:val="15"/>
                <w:szCs w:val="15"/>
                <w:color w:val="auto"/>
              </w:rPr>
              <w:t>8,703</w:t>
            </w:r>
          </w:p>
        </w:tc>
        <w:tc>
          <w:tcPr>
            <w:tcW w:w="50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22,628</w:t>
            </w:r>
          </w:p>
        </w:tc>
        <w:tc>
          <w:tcPr>
            <w:tcW w:w="100" w:type="dxa"/>
            <w:vAlign w:val="bottom"/>
            <w:tcBorders>
              <w:bottom w:val="single" w:sz="8" w:color="002F4D"/>
            </w:tcBorders>
          </w:tcPr>
          <w:p>
            <w:pPr>
              <w:spacing w:after="0"/>
              <w:rPr>
                <w:sz w:val="18"/>
                <w:szCs w:val="18"/>
                <w:color w:val="auto"/>
              </w:rPr>
            </w:pPr>
          </w:p>
        </w:tc>
        <w:tc>
          <w:tcPr>
            <w:tcW w:w="1440" w:type="dxa"/>
            <w:vAlign w:val="bottom"/>
            <w:tcBorders>
              <w:bottom w:val="single" w:sz="8" w:color="002F4D"/>
            </w:tcBorders>
          </w:tcPr>
          <w:p>
            <w:pPr>
              <w:spacing w:after="0"/>
              <w:rPr>
                <w:sz w:val="18"/>
                <w:szCs w:val="18"/>
                <w:color w:val="auto"/>
              </w:rPr>
            </w:pPr>
          </w:p>
        </w:tc>
        <w:tc>
          <w:tcPr>
            <w:tcW w:w="98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1,508,143</w:t>
            </w:r>
          </w:p>
        </w:tc>
        <w:tc>
          <w:tcPr>
            <w:tcW w:w="0" w:type="dxa"/>
            <w:vAlign w:val="bottom"/>
          </w:tcPr>
          <w:p>
            <w:pPr>
              <w:spacing w:after="0"/>
              <w:rPr>
                <w:sz w:val="1"/>
                <w:szCs w:val="1"/>
                <w:color w:val="auto"/>
              </w:rPr>
            </w:pPr>
          </w:p>
        </w:tc>
      </w:tr>
      <w:tr>
        <w:trPr>
          <w:trHeight w:val="207"/>
        </w:trPr>
        <w:tc>
          <w:tcPr>
            <w:tcW w:w="1960" w:type="dxa"/>
            <w:vAlign w:val="bottom"/>
            <w:tcBorders>
              <w:bottom w:val="single" w:sz="8" w:color="002F4D"/>
            </w:tcBorders>
          </w:tcPr>
          <w:p>
            <w:pPr>
              <w:spacing w:after="0"/>
              <w:rPr>
                <w:sz w:val="18"/>
                <w:szCs w:val="18"/>
                <w:color w:val="auto"/>
              </w:rPr>
            </w:pPr>
          </w:p>
        </w:tc>
        <w:tc>
          <w:tcPr>
            <w:tcW w:w="1220" w:type="dxa"/>
            <w:vAlign w:val="bottom"/>
            <w:tcBorders>
              <w:bottom w:val="single" w:sz="8" w:color="002F4D"/>
            </w:tcBorders>
          </w:tcPr>
          <w:p>
            <w:pPr>
              <w:jc w:val="right"/>
              <w:ind w:right="129"/>
              <w:spacing w:after="0" w:line="207" w:lineRule="exact"/>
              <w:rPr>
                <w:sz w:val="20"/>
                <w:szCs w:val="20"/>
                <w:color w:val="auto"/>
              </w:rPr>
            </w:pPr>
            <w:r>
              <w:rPr>
                <w:rFonts w:ascii="Arial" w:cs="Arial" w:eastAsia="Arial" w:hAnsi="Arial"/>
                <w:sz w:val="15"/>
                <w:szCs w:val="15"/>
                <w:color w:val="auto"/>
              </w:rPr>
              <w:t>5/13/25</w:t>
            </w:r>
            <w:r>
              <w:rPr>
                <w:rFonts w:ascii="Arial" w:cs="Arial" w:eastAsia="Arial" w:hAnsi="Arial"/>
                <w:sz w:val="24"/>
                <w:szCs w:val="24"/>
                <w:color w:val="auto"/>
                <w:vertAlign w:val="superscript"/>
              </w:rPr>
              <w:t>(5)</w:t>
            </w:r>
          </w:p>
        </w:tc>
        <w:tc>
          <w:tcPr>
            <w:tcW w:w="1040" w:type="dxa"/>
            <w:vAlign w:val="bottom"/>
            <w:tcBorders>
              <w:bottom w:val="single" w:sz="8" w:color="002F4D"/>
            </w:tcBorders>
          </w:tcPr>
          <w:p>
            <w:pPr>
              <w:spacing w:after="0"/>
              <w:rPr>
                <w:sz w:val="18"/>
                <w:szCs w:val="18"/>
                <w:color w:val="auto"/>
              </w:rPr>
            </w:pPr>
          </w:p>
        </w:tc>
        <w:tc>
          <w:tcPr>
            <w:tcW w:w="880" w:type="dxa"/>
            <w:vAlign w:val="bottom"/>
            <w:tcBorders>
              <w:bottom w:val="single" w:sz="8" w:color="002F4D"/>
            </w:tcBorders>
          </w:tcPr>
          <w:p>
            <w:pPr>
              <w:spacing w:after="0"/>
              <w:rPr>
                <w:sz w:val="18"/>
                <w:szCs w:val="18"/>
                <w:color w:val="auto"/>
              </w:rPr>
            </w:pPr>
          </w:p>
        </w:tc>
        <w:tc>
          <w:tcPr>
            <w:tcW w:w="740" w:type="dxa"/>
            <w:vAlign w:val="bottom"/>
            <w:tcBorders>
              <w:bottom w:val="single" w:sz="8" w:color="002F4D"/>
            </w:tcBorders>
          </w:tcPr>
          <w:p>
            <w:pPr>
              <w:spacing w:after="0"/>
              <w:rPr>
                <w:sz w:val="18"/>
                <w:szCs w:val="18"/>
                <w:color w:val="auto"/>
              </w:rPr>
            </w:pPr>
          </w:p>
        </w:tc>
        <w:tc>
          <w:tcPr>
            <w:tcW w:w="200" w:type="dxa"/>
            <w:vAlign w:val="bottom"/>
            <w:tcBorders>
              <w:bottom w:val="single" w:sz="8" w:color="002F4D"/>
            </w:tcBorders>
          </w:tcPr>
          <w:p>
            <w:pPr>
              <w:spacing w:after="0"/>
              <w:rPr>
                <w:sz w:val="18"/>
                <w:szCs w:val="18"/>
                <w:color w:val="auto"/>
              </w:rPr>
            </w:pPr>
          </w:p>
        </w:tc>
        <w:tc>
          <w:tcPr>
            <w:tcW w:w="1120" w:type="dxa"/>
            <w:vAlign w:val="bottom"/>
            <w:tcBorders>
              <w:bottom w:val="single" w:sz="8" w:color="002F4D"/>
            </w:tcBorders>
          </w:tcPr>
          <w:p>
            <w:pPr>
              <w:spacing w:after="0"/>
              <w:rPr>
                <w:sz w:val="18"/>
                <w:szCs w:val="18"/>
                <w:color w:val="auto"/>
              </w:rPr>
            </w:pPr>
          </w:p>
        </w:tc>
        <w:tc>
          <w:tcPr>
            <w:tcW w:w="1060" w:type="dxa"/>
            <w:vAlign w:val="bottom"/>
            <w:tcBorders>
              <w:bottom w:val="single" w:sz="8" w:color="002F4D"/>
            </w:tcBorders>
          </w:tcPr>
          <w:p>
            <w:pPr>
              <w:spacing w:after="0"/>
              <w:rPr>
                <w:sz w:val="18"/>
                <w:szCs w:val="18"/>
                <w:color w:val="auto"/>
              </w:rPr>
            </w:pPr>
          </w:p>
        </w:tc>
        <w:tc>
          <w:tcPr>
            <w:tcW w:w="500" w:type="dxa"/>
            <w:vAlign w:val="bottom"/>
            <w:tcBorders>
              <w:bottom w:val="single" w:sz="8" w:color="002F4D"/>
            </w:tcBorders>
          </w:tcPr>
          <w:p>
            <w:pPr>
              <w:spacing w:after="0"/>
              <w:rPr>
                <w:sz w:val="18"/>
                <w:szCs w:val="18"/>
                <w:color w:val="auto"/>
              </w:rPr>
            </w:pPr>
          </w:p>
        </w:tc>
        <w:tc>
          <w:tcPr>
            <w:tcW w:w="100" w:type="dxa"/>
            <w:vAlign w:val="bottom"/>
            <w:tcBorders>
              <w:bottom w:val="single" w:sz="8" w:color="002F4D"/>
            </w:tcBorders>
          </w:tcPr>
          <w:p>
            <w:pPr>
              <w:spacing w:after="0"/>
              <w:rPr>
                <w:sz w:val="18"/>
                <w:szCs w:val="18"/>
                <w:color w:val="auto"/>
              </w:rPr>
            </w:pPr>
          </w:p>
        </w:tc>
        <w:tc>
          <w:tcPr>
            <w:tcW w:w="1440" w:type="dxa"/>
            <w:vAlign w:val="bottom"/>
            <w:tcBorders>
              <w:bottom w:val="single" w:sz="8" w:color="002F4D"/>
            </w:tcBorders>
          </w:tcPr>
          <w:p>
            <w:pPr>
              <w:jc w:val="right"/>
              <w:ind w:right="44"/>
              <w:spacing w:after="0"/>
              <w:rPr>
                <w:sz w:val="20"/>
                <w:szCs w:val="20"/>
                <w:color w:val="auto"/>
              </w:rPr>
            </w:pPr>
            <w:r>
              <w:rPr>
                <w:rFonts w:ascii="Arial" w:cs="Arial" w:eastAsia="Arial" w:hAnsi="Arial"/>
                <w:sz w:val="15"/>
                <w:szCs w:val="15"/>
                <w:color w:val="auto"/>
              </w:rPr>
              <w:t>4,352</w:t>
            </w:r>
          </w:p>
        </w:tc>
        <w:tc>
          <w:tcPr>
            <w:tcW w:w="98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652,408</w:t>
            </w:r>
          </w:p>
        </w:tc>
        <w:tc>
          <w:tcPr>
            <w:tcW w:w="0" w:type="dxa"/>
            <w:vAlign w:val="bottom"/>
          </w:tcPr>
          <w:p>
            <w:pPr>
              <w:spacing w:after="0"/>
              <w:rPr>
                <w:sz w:val="1"/>
                <w:szCs w:val="1"/>
                <w:color w:val="auto"/>
              </w:rPr>
            </w:pPr>
          </w:p>
        </w:tc>
      </w:tr>
      <w:tr>
        <w:trPr>
          <w:trHeight w:val="169"/>
        </w:trPr>
        <w:tc>
          <w:tcPr>
            <w:tcW w:w="196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b w:val="1"/>
                <w:bCs w:val="1"/>
                <w:color w:val="auto"/>
              </w:rPr>
              <w:t>James K. Pool III</w:t>
            </w:r>
          </w:p>
        </w:tc>
        <w:tc>
          <w:tcPr>
            <w:tcW w:w="1220" w:type="dxa"/>
            <w:vAlign w:val="bottom"/>
            <w:tcBorders>
              <w:bottom w:val="single" w:sz="8" w:color="002F4D"/>
            </w:tcBorders>
          </w:tcPr>
          <w:p>
            <w:pPr>
              <w:spacing w:after="0"/>
              <w:rPr>
                <w:sz w:val="14"/>
                <w:szCs w:val="14"/>
                <w:color w:val="auto"/>
              </w:rPr>
            </w:pPr>
          </w:p>
        </w:tc>
        <w:tc>
          <w:tcPr>
            <w:tcW w:w="1040" w:type="dxa"/>
            <w:vAlign w:val="bottom"/>
            <w:tcBorders>
              <w:bottom w:val="single" w:sz="8" w:color="002F4D"/>
            </w:tcBorders>
          </w:tcPr>
          <w:p>
            <w:pPr>
              <w:spacing w:after="0"/>
              <w:rPr>
                <w:sz w:val="14"/>
                <w:szCs w:val="14"/>
                <w:color w:val="auto"/>
              </w:rPr>
            </w:pPr>
          </w:p>
        </w:tc>
        <w:tc>
          <w:tcPr>
            <w:tcW w:w="880" w:type="dxa"/>
            <w:vAlign w:val="bottom"/>
            <w:tcBorders>
              <w:bottom w:val="single" w:sz="8" w:color="002F4D"/>
            </w:tcBorders>
          </w:tcPr>
          <w:p>
            <w:pPr>
              <w:spacing w:after="0"/>
              <w:rPr>
                <w:sz w:val="14"/>
                <w:szCs w:val="14"/>
                <w:color w:val="auto"/>
              </w:rPr>
            </w:pPr>
          </w:p>
        </w:tc>
        <w:tc>
          <w:tcPr>
            <w:tcW w:w="740" w:type="dxa"/>
            <w:vAlign w:val="bottom"/>
            <w:tcBorders>
              <w:bottom w:val="single" w:sz="8" w:color="002F4D"/>
            </w:tcBorders>
          </w:tcPr>
          <w:p>
            <w:pPr>
              <w:spacing w:after="0"/>
              <w:rPr>
                <w:sz w:val="14"/>
                <w:szCs w:val="14"/>
                <w:color w:val="auto"/>
              </w:rPr>
            </w:pPr>
          </w:p>
        </w:tc>
        <w:tc>
          <w:tcPr>
            <w:tcW w:w="200" w:type="dxa"/>
            <w:vAlign w:val="bottom"/>
            <w:tcBorders>
              <w:bottom w:val="single" w:sz="8" w:color="002F4D"/>
            </w:tcBorders>
          </w:tcPr>
          <w:p>
            <w:pPr>
              <w:spacing w:after="0"/>
              <w:rPr>
                <w:sz w:val="14"/>
                <w:szCs w:val="14"/>
                <w:color w:val="auto"/>
              </w:rPr>
            </w:pPr>
          </w:p>
        </w:tc>
        <w:tc>
          <w:tcPr>
            <w:tcW w:w="1120" w:type="dxa"/>
            <w:vAlign w:val="bottom"/>
            <w:tcBorders>
              <w:bottom w:val="single" w:sz="8" w:color="002F4D"/>
            </w:tcBorders>
          </w:tcPr>
          <w:p>
            <w:pPr>
              <w:spacing w:after="0"/>
              <w:rPr>
                <w:sz w:val="14"/>
                <w:szCs w:val="14"/>
                <w:color w:val="auto"/>
              </w:rPr>
            </w:pPr>
          </w:p>
        </w:tc>
        <w:tc>
          <w:tcPr>
            <w:tcW w:w="1060" w:type="dxa"/>
            <w:vAlign w:val="bottom"/>
            <w:tcBorders>
              <w:bottom w:val="single" w:sz="8" w:color="002F4D"/>
            </w:tcBorders>
          </w:tcPr>
          <w:p>
            <w:pPr>
              <w:spacing w:after="0"/>
              <w:rPr>
                <w:sz w:val="14"/>
                <w:szCs w:val="14"/>
                <w:color w:val="auto"/>
              </w:rPr>
            </w:pPr>
          </w:p>
        </w:tc>
        <w:tc>
          <w:tcPr>
            <w:tcW w:w="500" w:type="dxa"/>
            <w:vAlign w:val="bottom"/>
            <w:tcBorders>
              <w:bottom w:val="single" w:sz="8" w:color="002F4D"/>
            </w:tcBorders>
          </w:tcPr>
          <w:p>
            <w:pPr>
              <w:spacing w:after="0"/>
              <w:rPr>
                <w:sz w:val="14"/>
                <w:szCs w:val="14"/>
                <w:color w:val="auto"/>
              </w:rPr>
            </w:pPr>
          </w:p>
        </w:tc>
        <w:tc>
          <w:tcPr>
            <w:tcW w:w="100" w:type="dxa"/>
            <w:vAlign w:val="bottom"/>
            <w:tcBorders>
              <w:bottom w:val="single" w:sz="8" w:color="002F4D"/>
            </w:tcBorders>
          </w:tcPr>
          <w:p>
            <w:pPr>
              <w:spacing w:after="0"/>
              <w:rPr>
                <w:sz w:val="14"/>
                <w:szCs w:val="14"/>
                <w:color w:val="auto"/>
              </w:rPr>
            </w:pPr>
          </w:p>
        </w:tc>
        <w:tc>
          <w:tcPr>
            <w:tcW w:w="1440" w:type="dxa"/>
            <w:vAlign w:val="bottom"/>
            <w:tcBorders>
              <w:bottom w:val="single" w:sz="8" w:color="002F4D"/>
            </w:tcBorders>
          </w:tcPr>
          <w:p>
            <w:pPr>
              <w:spacing w:after="0"/>
              <w:rPr>
                <w:sz w:val="14"/>
                <w:szCs w:val="14"/>
                <w:color w:val="auto"/>
              </w:rPr>
            </w:pPr>
          </w:p>
        </w:tc>
        <w:tc>
          <w:tcPr>
            <w:tcW w:w="980" w:type="dxa"/>
            <w:vAlign w:val="bottom"/>
            <w:tcBorders>
              <w:bottom w:val="single" w:sz="8" w:color="002F4D"/>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960" w:type="dxa"/>
            <w:vAlign w:val="bottom"/>
            <w:tcBorders>
              <w:bottom w:val="single" w:sz="8" w:color="002F4D"/>
            </w:tcBorders>
          </w:tcPr>
          <w:p>
            <w:pPr>
              <w:spacing w:after="0"/>
              <w:rPr>
                <w:sz w:val="18"/>
                <w:szCs w:val="18"/>
                <w:color w:val="auto"/>
              </w:rPr>
            </w:pPr>
          </w:p>
        </w:tc>
        <w:tc>
          <w:tcPr>
            <w:tcW w:w="1220" w:type="dxa"/>
            <w:vAlign w:val="bottom"/>
            <w:tcBorders>
              <w:bottom w:val="single" w:sz="8" w:color="002F4D"/>
            </w:tcBorders>
          </w:tcPr>
          <w:p>
            <w:pPr>
              <w:jc w:val="right"/>
              <w:ind w:right="129"/>
              <w:spacing w:after="0"/>
              <w:rPr>
                <w:sz w:val="20"/>
                <w:szCs w:val="20"/>
                <w:color w:val="auto"/>
              </w:rPr>
            </w:pPr>
            <w:r>
              <w:rPr>
                <w:rFonts w:ascii="Arial" w:cs="Arial" w:eastAsia="Arial" w:hAnsi="Arial"/>
                <w:sz w:val="13"/>
                <w:szCs w:val="13"/>
                <w:color w:val="auto"/>
              </w:rPr>
              <w:t>(1)</w:t>
            </w:r>
          </w:p>
        </w:tc>
        <w:tc>
          <w:tcPr>
            <w:tcW w:w="1040" w:type="dxa"/>
            <w:vAlign w:val="bottom"/>
            <w:tcBorders>
              <w:bottom w:val="single" w:sz="8" w:color="002F4D"/>
            </w:tcBorders>
          </w:tcPr>
          <w:p>
            <w:pPr>
              <w:jc w:val="right"/>
              <w:ind w:right="85"/>
              <w:spacing w:after="0"/>
              <w:rPr>
                <w:sz w:val="20"/>
                <w:szCs w:val="20"/>
                <w:color w:val="auto"/>
              </w:rPr>
            </w:pPr>
            <w:r>
              <w:rPr>
                <w:rFonts w:ascii="Arial" w:cs="Arial" w:eastAsia="Arial" w:hAnsi="Arial"/>
                <w:sz w:val="15"/>
                <w:szCs w:val="15"/>
                <w:color w:val="auto"/>
              </w:rPr>
              <w:t>108,150</w:t>
            </w:r>
          </w:p>
        </w:tc>
        <w:tc>
          <w:tcPr>
            <w:tcW w:w="880" w:type="dxa"/>
            <w:vAlign w:val="bottom"/>
            <w:tcBorders>
              <w:bottom w:val="single" w:sz="8" w:color="002F4D"/>
            </w:tcBorders>
          </w:tcPr>
          <w:p>
            <w:pPr>
              <w:jc w:val="right"/>
              <w:ind w:right="84"/>
              <w:spacing w:after="0"/>
              <w:rPr>
                <w:sz w:val="20"/>
                <w:szCs w:val="20"/>
                <w:color w:val="auto"/>
              </w:rPr>
            </w:pPr>
            <w:r>
              <w:rPr>
                <w:rFonts w:ascii="Arial" w:cs="Arial" w:eastAsia="Arial" w:hAnsi="Arial"/>
                <w:sz w:val="15"/>
                <w:szCs w:val="15"/>
                <w:color w:val="auto"/>
              </w:rPr>
              <w:t>618,000</w:t>
            </w:r>
          </w:p>
        </w:tc>
        <w:tc>
          <w:tcPr>
            <w:tcW w:w="7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1,236,000</w:t>
            </w:r>
          </w:p>
        </w:tc>
        <w:tc>
          <w:tcPr>
            <w:tcW w:w="200" w:type="dxa"/>
            <w:vAlign w:val="bottom"/>
            <w:tcBorders>
              <w:bottom w:val="single" w:sz="8" w:color="002F4D"/>
            </w:tcBorders>
          </w:tcPr>
          <w:p>
            <w:pPr>
              <w:spacing w:after="0"/>
              <w:rPr>
                <w:sz w:val="18"/>
                <w:szCs w:val="18"/>
                <w:color w:val="auto"/>
              </w:rPr>
            </w:pPr>
          </w:p>
        </w:tc>
        <w:tc>
          <w:tcPr>
            <w:tcW w:w="1120" w:type="dxa"/>
            <w:vAlign w:val="bottom"/>
            <w:tcBorders>
              <w:bottom w:val="single" w:sz="8" w:color="002F4D"/>
            </w:tcBorders>
          </w:tcPr>
          <w:p>
            <w:pPr>
              <w:spacing w:after="0"/>
              <w:rPr>
                <w:sz w:val="18"/>
                <w:szCs w:val="18"/>
                <w:color w:val="auto"/>
              </w:rPr>
            </w:pPr>
          </w:p>
        </w:tc>
        <w:tc>
          <w:tcPr>
            <w:tcW w:w="1060" w:type="dxa"/>
            <w:vAlign w:val="bottom"/>
            <w:tcBorders>
              <w:bottom w:val="single" w:sz="8" w:color="002F4D"/>
            </w:tcBorders>
          </w:tcPr>
          <w:p>
            <w:pPr>
              <w:spacing w:after="0"/>
              <w:rPr>
                <w:sz w:val="18"/>
                <w:szCs w:val="18"/>
                <w:color w:val="auto"/>
              </w:rPr>
            </w:pPr>
          </w:p>
        </w:tc>
        <w:tc>
          <w:tcPr>
            <w:tcW w:w="500" w:type="dxa"/>
            <w:vAlign w:val="bottom"/>
            <w:tcBorders>
              <w:bottom w:val="single" w:sz="8" w:color="002F4D"/>
            </w:tcBorders>
          </w:tcPr>
          <w:p>
            <w:pPr>
              <w:spacing w:after="0"/>
              <w:rPr>
                <w:sz w:val="18"/>
                <w:szCs w:val="18"/>
                <w:color w:val="auto"/>
              </w:rPr>
            </w:pPr>
          </w:p>
        </w:tc>
        <w:tc>
          <w:tcPr>
            <w:tcW w:w="100" w:type="dxa"/>
            <w:vAlign w:val="bottom"/>
            <w:tcBorders>
              <w:bottom w:val="single" w:sz="8" w:color="002F4D"/>
            </w:tcBorders>
          </w:tcPr>
          <w:p>
            <w:pPr>
              <w:spacing w:after="0"/>
              <w:rPr>
                <w:sz w:val="18"/>
                <w:szCs w:val="18"/>
                <w:color w:val="auto"/>
              </w:rPr>
            </w:pPr>
          </w:p>
        </w:tc>
        <w:tc>
          <w:tcPr>
            <w:tcW w:w="1440" w:type="dxa"/>
            <w:vAlign w:val="bottom"/>
            <w:tcBorders>
              <w:bottom w:val="single" w:sz="8" w:color="002F4D"/>
            </w:tcBorders>
          </w:tcPr>
          <w:p>
            <w:pPr>
              <w:spacing w:after="0"/>
              <w:rPr>
                <w:sz w:val="18"/>
                <w:szCs w:val="18"/>
                <w:color w:val="auto"/>
              </w:rPr>
            </w:pPr>
          </w:p>
        </w:tc>
        <w:tc>
          <w:tcPr>
            <w:tcW w:w="980" w:type="dxa"/>
            <w:vAlign w:val="bottom"/>
            <w:tcBorders>
              <w:bottom w:val="single" w:sz="8" w:color="002F4D"/>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960" w:type="dxa"/>
            <w:vAlign w:val="bottom"/>
            <w:tcBorders>
              <w:bottom w:val="single" w:sz="8" w:color="002F4D"/>
            </w:tcBorders>
          </w:tcPr>
          <w:p>
            <w:pPr>
              <w:spacing w:after="0"/>
              <w:rPr>
                <w:sz w:val="18"/>
                <w:szCs w:val="18"/>
                <w:color w:val="auto"/>
              </w:rPr>
            </w:pPr>
          </w:p>
        </w:tc>
        <w:tc>
          <w:tcPr>
            <w:tcW w:w="1220" w:type="dxa"/>
            <w:vAlign w:val="bottom"/>
            <w:tcBorders>
              <w:bottom w:val="single" w:sz="8" w:color="002F4D"/>
            </w:tcBorders>
          </w:tcPr>
          <w:p>
            <w:pPr>
              <w:jc w:val="right"/>
              <w:spacing w:after="0" w:line="207" w:lineRule="exact"/>
              <w:rPr>
                <w:sz w:val="20"/>
                <w:szCs w:val="20"/>
                <w:color w:val="auto"/>
              </w:rPr>
            </w:pPr>
            <w:r>
              <w:rPr>
                <w:rFonts w:ascii="Arial" w:cs="Arial" w:eastAsia="Arial" w:hAnsi="Arial"/>
                <w:sz w:val="15"/>
                <w:szCs w:val="15"/>
                <w:color w:val="auto"/>
              </w:rPr>
              <w:t>5/13/25</w:t>
            </w:r>
            <w:r>
              <w:rPr>
                <w:rFonts w:ascii="Arial" w:cs="Arial" w:eastAsia="Arial" w:hAnsi="Arial"/>
                <w:sz w:val="24"/>
                <w:szCs w:val="24"/>
                <w:color w:val="auto"/>
                <w:vertAlign w:val="superscript"/>
              </w:rPr>
              <w:t>(3)(4)</w:t>
            </w:r>
          </w:p>
        </w:tc>
        <w:tc>
          <w:tcPr>
            <w:tcW w:w="1040" w:type="dxa"/>
            <w:vAlign w:val="bottom"/>
            <w:tcBorders>
              <w:bottom w:val="single" w:sz="8" w:color="002F4D"/>
            </w:tcBorders>
          </w:tcPr>
          <w:p>
            <w:pPr>
              <w:spacing w:after="0"/>
              <w:rPr>
                <w:sz w:val="18"/>
                <w:szCs w:val="18"/>
                <w:color w:val="auto"/>
              </w:rPr>
            </w:pPr>
          </w:p>
        </w:tc>
        <w:tc>
          <w:tcPr>
            <w:tcW w:w="880" w:type="dxa"/>
            <w:vAlign w:val="bottom"/>
            <w:tcBorders>
              <w:bottom w:val="single" w:sz="8" w:color="002F4D"/>
            </w:tcBorders>
          </w:tcPr>
          <w:p>
            <w:pPr>
              <w:spacing w:after="0"/>
              <w:rPr>
                <w:sz w:val="18"/>
                <w:szCs w:val="18"/>
                <w:color w:val="auto"/>
              </w:rPr>
            </w:pPr>
          </w:p>
        </w:tc>
        <w:tc>
          <w:tcPr>
            <w:tcW w:w="740" w:type="dxa"/>
            <w:vAlign w:val="bottom"/>
            <w:tcBorders>
              <w:bottom w:val="single" w:sz="8" w:color="002F4D"/>
            </w:tcBorders>
          </w:tcPr>
          <w:p>
            <w:pPr>
              <w:spacing w:after="0"/>
              <w:rPr>
                <w:sz w:val="18"/>
                <w:szCs w:val="18"/>
                <w:color w:val="auto"/>
              </w:rPr>
            </w:pPr>
          </w:p>
        </w:tc>
        <w:tc>
          <w:tcPr>
            <w:tcW w:w="200" w:type="dxa"/>
            <w:vAlign w:val="bottom"/>
            <w:tcBorders>
              <w:bottom w:val="single" w:sz="8" w:color="002F4D"/>
            </w:tcBorders>
          </w:tcPr>
          <w:p>
            <w:pPr>
              <w:spacing w:after="0"/>
              <w:rPr>
                <w:sz w:val="18"/>
                <w:szCs w:val="18"/>
                <w:color w:val="auto"/>
              </w:rPr>
            </w:pPr>
          </w:p>
        </w:tc>
        <w:tc>
          <w:tcPr>
            <w:tcW w:w="1120" w:type="dxa"/>
            <w:vAlign w:val="bottom"/>
            <w:tcBorders>
              <w:bottom w:val="single" w:sz="8" w:color="002F4D"/>
            </w:tcBorders>
          </w:tcPr>
          <w:p>
            <w:pPr>
              <w:jc w:val="right"/>
              <w:ind w:right="144"/>
              <w:spacing w:after="0"/>
              <w:rPr>
                <w:sz w:val="20"/>
                <w:szCs w:val="20"/>
                <w:color w:val="auto"/>
              </w:rPr>
            </w:pPr>
            <w:r>
              <w:rPr>
                <w:rFonts w:ascii="Arial" w:cs="Arial" w:eastAsia="Arial" w:hAnsi="Arial"/>
                <w:sz w:val="15"/>
                <w:szCs w:val="15"/>
                <w:color w:val="auto"/>
              </w:rPr>
              <w:t>4,169</w:t>
            </w:r>
          </w:p>
        </w:tc>
        <w:tc>
          <w:tcPr>
            <w:tcW w:w="1060" w:type="dxa"/>
            <w:vAlign w:val="bottom"/>
            <w:tcBorders>
              <w:bottom w:val="single" w:sz="8" w:color="002F4D"/>
            </w:tcBorders>
          </w:tcPr>
          <w:p>
            <w:pPr>
              <w:jc w:val="right"/>
              <w:ind w:right="324"/>
              <w:spacing w:after="0"/>
              <w:rPr>
                <w:sz w:val="20"/>
                <w:szCs w:val="20"/>
                <w:color w:val="auto"/>
              </w:rPr>
            </w:pPr>
            <w:r>
              <w:rPr>
                <w:rFonts w:ascii="Arial" w:cs="Arial" w:eastAsia="Arial" w:hAnsi="Arial"/>
                <w:sz w:val="15"/>
                <w:szCs w:val="15"/>
                <w:color w:val="auto"/>
              </w:rPr>
              <w:t>11,910</w:t>
            </w:r>
          </w:p>
        </w:tc>
        <w:tc>
          <w:tcPr>
            <w:tcW w:w="50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30,966</w:t>
            </w:r>
          </w:p>
        </w:tc>
        <w:tc>
          <w:tcPr>
            <w:tcW w:w="100" w:type="dxa"/>
            <w:vAlign w:val="bottom"/>
            <w:tcBorders>
              <w:bottom w:val="single" w:sz="8" w:color="002F4D"/>
            </w:tcBorders>
          </w:tcPr>
          <w:p>
            <w:pPr>
              <w:spacing w:after="0"/>
              <w:rPr>
                <w:sz w:val="18"/>
                <w:szCs w:val="18"/>
                <w:color w:val="auto"/>
              </w:rPr>
            </w:pPr>
          </w:p>
        </w:tc>
        <w:tc>
          <w:tcPr>
            <w:tcW w:w="1440" w:type="dxa"/>
            <w:vAlign w:val="bottom"/>
            <w:tcBorders>
              <w:bottom w:val="single" w:sz="8" w:color="002F4D"/>
            </w:tcBorders>
          </w:tcPr>
          <w:p>
            <w:pPr>
              <w:spacing w:after="0"/>
              <w:rPr>
                <w:sz w:val="18"/>
                <w:szCs w:val="18"/>
                <w:color w:val="auto"/>
              </w:rPr>
            </w:pPr>
          </w:p>
        </w:tc>
        <w:tc>
          <w:tcPr>
            <w:tcW w:w="98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2,063,884</w:t>
            </w:r>
          </w:p>
        </w:tc>
        <w:tc>
          <w:tcPr>
            <w:tcW w:w="0" w:type="dxa"/>
            <w:vAlign w:val="bottom"/>
          </w:tcPr>
          <w:p>
            <w:pPr>
              <w:spacing w:after="0"/>
              <w:rPr>
                <w:sz w:val="1"/>
                <w:szCs w:val="1"/>
                <w:color w:val="auto"/>
              </w:rPr>
            </w:pPr>
          </w:p>
        </w:tc>
      </w:tr>
      <w:tr>
        <w:trPr>
          <w:trHeight w:val="207"/>
        </w:trPr>
        <w:tc>
          <w:tcPr>
            <w:tcW w:w="1960" w:type="dxa"/>
            <w:vAlign w:val="bottom"/>
            <w:tcBorders>
              <w:bottom w:val="single" w:sz="8" w:color="002F4D"/>
            </w:tcBorders>
          </w:tcPr>
          <w:p>
            <w:pPr>
              <w:spacing w:after="0"/>
              <w:rPr>
                <w:sz w:val="18"/>
                <w:szCs w:val="18"/>
                <w:color w:val="auto"/>
              </w:rPr>
            </w:pPr>
          </w:p>
        </w:tc>
        <w:tc>
          <w:tcPr>
            <w:tcW w:w="1220" w:type="dxa"/>
            <w:vAlign w:val="bottom"/>
            <w:tcBorders>
              <w:bottom w:val="single" w:sz="8" w:color="002F4D"/>
            </w:tcBorders>
          </w:tcPr>
          <w:p>
            <w:pPr>
              <w:jc w:val="right"/>
              <w:ind w:right="129"/>
              <w:spacing w:after="0" w:line="207" w:lineRule="exact"/>
              <w:rPr>
                <w:sz w:val="20"/>
                <w:szCs w:val="20"/>
                <w:color w:val="auto"/>
              </w:rPr>
            </w:pPr>
            <w:r>
              <w:rPr>
                <w:rFonts w:ascii="Arial" w:cs="Arial" w:eastAsia="Arial" w:hAnsi="Arial"/>
                <w:sz w:val="15"/>
                <w:szCs w:val="15"/>
                <w:color w:val="auto"/>
              </w:rPr>
              <w:t>5/13/25</w:t>
            </w:r>
            <w:r>
              <w:rPr>
                <w:rFonts w:ascii="Arial" w:cs="Arial" w:eastAsia="Arial" w:hAnsi="Arial"/>
                <w:sz w:val="24"/>
                <w:szCs w:val="24"/>
                <w:color w:val="auto"/>
                <w:vertAlign w:val="superscript"/>
              </w:rPr>
              <w:t>(5)</w:t>
            </w:r>
          </w:p>
        </w:tc>
        <w:tc>
          <w:tcPr>
            <w:tcW w:w="1040" w:type="dxa"/>
            <w:vAlign w:val="bottom"/>
            <w:tcBorders>
              <w:bottom w:val="single" w:sz="8" w:color="002F4D"/>
            </w:tcBorders>
          </w:tcPr>
          <w:p>
            <w:pPr>
              <w:spacing w:after="0"/>
              <w:rPr>
                <w:sz w:val="18"/>
                <w:szCs w:val="18"/>
                <w:color w:val="auto"/>
              </w:rPr>
            </w:pPr>
          </w:p>
        </w:tc>
        <w:tc>
          <w:tcPr>
            <w:tcW w:w="880" w:type="dxa"/>
            <w:vAlign w:val="bottom"/>
            <w:tcBorders>
              <w:bottom w:val="single" w:sz="8" w:color="002F4D"/>
            </w:tcBorders>
          </w:tcPr>
          <w:p>
            <w:pPr>
              <w:spacing w:after="0"/>
              <w:rPr>
                <w:sz w:val="18"/>
                <w:szCs w:val="18"/>
                <w:color w:val="auto"/>
              </w:rPr>
            </w:pPr>
          </w:p>
        </w:tc>
        <w:tc>
          <w:tcPr>
            <w:tcW w:w="740" w:type="dxa"/>
            <w:vAlign w:val="bottom"/>
            <w:tcBorders>
              <w:bottom w:val="single" w:sz="8" w:color="002F4D"/>
            </w:tcBorders>
          </w:tcPr>
          <w:p>
            <w:pPr>
              <w:spacing w:after="0"/>
              <w:rPr>
                <w:sz w:val="18"/>
                <w:szCs w:val="18"/>
                <w:color w:val="auto"/>
              </w:rPr>
            </w:pPr>
          </w:p>
        </w:tc>
        <w:tc>
          <w:tcPr>
            <w:tcW w:w="200" w:type="dxa"/>
            <w:vAlign w:val="bottom"/>
            <w:tcBorders>
              <w:bottom w:val="single" w:sz="8" w:color="002F4D"/>
            </w:tcBorders>
          </w:tcPr>
          <w:p>
            <w:pPr>
              <w:spacing w:after="0"/>
              <w:rPr>
                <w:sz w:val="18"/>
                <w:szCs w:val="18"/>
                <w:color w:val="auto"/>
              </w:rPr>
            </w:pPr>
          </w:p>
        </w:tc>
        <w:tc>
          <w:tcPr>
            <w:tcW w:w="1120" w:type="dxa"/>
            <w:vAlign w:val="bottom"/>
            <w:tcBorders>
              <w:bottom w:val="single" w:sz="8" w:color="002F4D"/>
            </w:tcBorders>
          </w:tcPr>
          <w:p>
            <w:pPr>
              <w:spacing w:after="0"/>
              <w:rPr>
                <w:sz w:val="18"/>
                <w:szCs w:val="18"/>
                <w:color w:val="auto"/>
              </w:rPr>
            </w:pPr>
          </w:p>
        </w:tc>
        <w:tc>
          <w:tcPr>
            <w:tcW w:w="1060" w:type="dxa"/>
            <w:vAlign w:val="bottom"/>
            <w:tcBorders>
              <w:bottom w:val="single" w:sz="8" w:color="002F4D"/>
            </w:tcBorders>
          </w:tcPr>
          <w:p>
            <w:pPr>
              <w:spacing w:after="0"/>
              <w:rPr>
                <w:sz w:val="18"/>
                <w:szCs w:val="18"/>
                <w:color w:val="auto"/>
              </w:rPr>
            </w:pPr>
          </w:p>
        </w:tc>
        <w:tc>
          <w:tcPr>
            <w:tcW w:w="500" w:type="dxa"/>
            <w:vAlign w:val="bottom"/>
            <w:tcBorders>
              <w:bottom w:val="single" w:sz="8" w:color="002F4D"/>
            </w:tcBorders>
          </w:tcPr>
          <w:p>
            <w:pPr>
              <w:spacing w:after="0"/>
              <w:rPr>
                <w:sz w:val="18"/>
                <w:szCs w:val="18"/>
                <w:color w:val="auto"/>
              </w:rPr>
            </w:pPr>
          </w:p>
        </w:tc>
        <w:tc>
          <w:tcPr>
            <w:tcW w:w="100" w:type="dxa"/>
            <w:vAlign w:val="bottom"/>
            <w:tcBorders>
              <w:bottom w:val="single" w:sz="8" w:color="002F4D"/>
            </w:tcBorders>
          </w:tcPr>
          <w:p>
            <w:pPr>
              <w:spacing w:after="0"/>
              <w:rPr>
                <w:sz w:val="18"/>
                <w:szCs w:val="18"/>
                <w:color w:val="auto"/>
              </w:rPr>
            </w:pPr>
          </w:p>
        </w:tc>
        <w:tc>
          <w:tcPr>
            <w:tcW w:w="1440" w:type="dxa"/>
            <w:vAlign w:val="bottom"/>
            <w:tcBorders>
              <w:bottom w:val="single" w:sz="8" w:color="002F4D"/>
            </w:tcBorders>
          </w:tcPr>
          <w:p>
            <w:pPr>
              <w:jc w:val="right"/>
              <w:ind w:right="44"/>
              <w:spacing w:after="0"/>
              <w:rPr>
                <w:sz w:val="20"/>
                <w:szCs w:val="20"/>
                <w:color w:val="auto"/>
              </w:rPr>
            </w:pPr>
            <w:r>
              <w:rPr>
                <w:rFonts w:ascii="Arial" w:cs="Arial" w:eastAsia="Arial" w:hAnsi="Arial"/>
                <w:sz w:val="15"/>
                <w:szCs w:val="15"/>
                <w:color w:val="auto"/>
              </w:rPr>
              <w:t>5,955</w:t>
            </w:r>
          </w:p>
        </w:tc>
        <w:tc>
          <w:tcPr>
            <w:tcW w:w="98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892,714</w:t>
            </w:r>
          </w:p>
        </w:tc>
        <w:tc>
          <w:tcPr>
            <w:tcW w:w="0" w:type="dxa"/>
            <w:vAlign w:val="bottom"/>
          </w:tcPr>
          <w:p>
            <w:pPr>
              <w:spacing w:after="0"/>
              <w:rPr>
                <w:sz w:val="1"/>
                <w:szCs w:val="1"/>
                <w:color w:val="auto"/>
              </w:rPr>
            </w:pPr>
          </w:p>
        </w:tc>
      </w:tr>
      <w:tr>
        <w:trPr>
          <w:trHeight w:val="169"/>
        </w:trPr>
        <w:tc>
          <w:tcPr>
            <w:tcW w:w="196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b w:val="1"/>
                <w:bCs w:val="1"/>
                <w:color w:val="auto"/>
              </w:rPr>
              <w:t>Steven P. Spittle</w:t>
            </w:r>
          </w:p>
        </w:tc>
        <w:tc>
          <w:tcPr>
            <w:tcW w:w="1220" w:type="dxa"/>
            <w:vAlign w:val="bottom"/>
            <w:tcBorders>
              <w:bottom w:val="single" w:sz="8" w:color="002F4D"/>
            </w:tcBorders>
          </w:tcPr>
          <w:p>
            <w:pPr>
              <w:spacing w:after="0"/>
              <w:rPr>
                <w:sz w:val="14"/>
                <w:szCs w:val="14"/>
                <w:color w:val="auto"/>
              </w:rPr>
            </w:pPr>
          </w:p>
        </w:tc>
        <w:tc>
          <w:tcPr>
            <w:tcW w:w="1040" w:type="dxa"/>
            <w:vAlign w:val="bottom"/>
            <w:tcBorders>
              <w:bottom w:val="single" w:sz="8" w:color="002F4D"/>
            </w:tcBorders>
          </w:tcPr>
          <w:p>
            <w:pPr>
              <w:spacing w:after="0"/>
              <w:rPr>
                <w:sz w:val="14"/>
                <w:szCs w:val="14"/>
                <w:color w:val="auto"/>
              </w:rPr>
            </w:pPr>
          </w:p>
        </w:tc>
        <w:tc>
          <w:tcPr>
            <w:tcW w:w="880" w:type="dxa"/>
            <w:vAlign w:val="bottom"/>
            <w:tcBorders>
              <w:bottom w:val="single" w:sz="8" w:color="002F4D"/>
            </w:tcBorders>
          </w:tcPr>
          <w:p>
            <w:pPr>
              <w:spacing w:after="0"/>
              <w:rPr>
                <w:sz w:val="14"/>
                <w:szCs w:val="14"/>
                <w:color w:val="auto"/>
              </w:rPr>
            </w:pPr>
          </w:p>
        </w:tc>
        <w:tc>
          <w:tcPr>
            <w:tcW w:w="740" w:type="dxa"/>
            <w:vAlign w:val="bottom"/>
            <w:tcBorders>
              <w:bottom w:val="single" w:sz="8" w:color="002F4D"/>
            </w:tcBorders>
          </w:tcPr>
          <w:p>
            <w:pPr>
              <w:spacing w:after="0"/>
              <w:rPr>
                <w:sz w:val="14"/>
                <w:szCs w:val="14"/>
                <w:color w:val="auto"/>
              </w:rPr>
            </w:pPr>
          </w:p>
        </w:tc>
        <w:tc>
          <w:tcPr>
            <w:tcW w:w="200" w:type="dxa"/>
            <w:vAlign w:val="bottom"/>
            <w:tcBorders>
              <w:bottom w:val="single" w:sz="8" w:color="002F4D"/>
            </w:tcBorders>
          </w:tcPr>
          <w:p>
            <w:pPr>
              <w:spacing w:after="0"/>
              <w:rPr>
                <w:sz w:val="14"/>
                <w:szCs w:val="14"/>
                <w:color w:val="auto"/>
              </w:rPr>
            </w:pPr>
          </w:p>
        </w:tc>
        <w:tc>
          <w:tcPr>
            <w:tcW w:w="1120" w:type="dxa"/>
            <w:vAlign w:val="bottom"/>
            <w:tcBorders>
              <w:bottom w:val="single" w:sz="8" w:color="002F4D"/>
            </w:tcBorders>
          </w:tcPr>
          <w:p>
            <w:pPr>
              <w:spacing w:after="0"/>
              <w:rPr>
                <w:sz w:val="14"/>
                <w:szCs w:val="14"/>
                <w:color w:val="auto"/>
              </w:rPr>
            </w:pPr>
          </w:p>
        </w:tc>
        <w:tc>
          <w:tcPr>
            <w:tcW w:w="1060" w:type="dxa"/>
            <w:vAlign w:val="bottom"/>
            <w:tcBorders>
              <w:bottom w:val="single" w:sz="8" w:color="002F4D"/>
            </w:tcBorders>
          </w:tcPr>
          <w:p>
            <w:pPr>
              <w:spacing w:after="0"/>
              <w:rPr>
                <w:sz w:val="14"/>
                <w:szCs w:val="14"/>
                <w:color w:val="auto"/>
              </w:rPr>
            </w:pPr>
          </w:p>
        </w:tc>
        <w:tc>
          <w:tcPr>
            <w:tcW w:w="500" w:type="dxa"/>
            <w:vAlign w:val="bottom"/>
            <w:tcBorders>
              <w:bottom w:val="single" w:sz="8" w:color="002F4D"/>
            </w:tcBorders>
          </w:tcPr>
          <w:p>
            <w:pPr>
              <w:spacing w:after="0"/>
              <w:rPr>
                <w:sz w:val="14"/>
                <w:szCs w:val="14"/>
                <w:color w:val="auto"/>
              </w:rPr>
            </w:pPr>
          </w:p>
        </w:tc>
        <w:tc>
          <w:tcPr>
            <w:tcW w:w="100" w:type="dxa"/>
            <w:vAlign w:val="bottom"/>
            <w:tcBorders>
              <w:bottom w:val="single" w:sz="8" w:color="002F4D"/>
            </w:tcBorders>
          </w:tcPr>
          <w:p>
            <w:pPr>
              <w:spacing w:after="0"/>
              <w:rPr>
                <w:sz w:val="14"/>
                <w:szCs w:val="14"/>
                <w:color w:val="auto"/>
              </w:rPr>
            </w:pPr>
          </w:p>
        </w:tc>
        <w:tc>
          <w:tcPr>
            <w:tcW w:w="1440" w:type="dxa"/>
            <w:vAlign w:val="bottom"/>
            <w:tcBorders>
              <w:bottom w:val="single" w:sz="8" w:color="002F4D"/>
            </w:tcBorders>
          </w:tcPr>
          <w:p>
            <w:pPr>
              <w:spacing w:after="0"/>
              <w:rPr>
                <w:sz w:val="14"/>
                <w:szCs w:val="14"/>
                <w:color w:val="auto"/>
              </w:rPr>
            </w:pPr>
          </w:p>
        </w:tc>
        <w:tc>
          <w:tcPr>
            <w:tcW w:w="980" w:type="dxa"/>
            <w:vAlign w:val="bottom"/>
            <w:tcBorders>
              <w:bottom w:val="single" w:sz="8" w:color="002F4D"/>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960" w:type="dxa"/>
            <w:vAlign w:val="bottom"/>
            <w:tcBorders>
              <w:bottom w:val="single" w:sz="8" w:color="002F4D"/>
            </w:tcBorders>
          </w:tcPr>
          <w:p>
            <w:pPr>
              <w:spacing w:after="0"/>
              <w:rPr>
                <w:sz w:val="18"/>
                <w:szCs w:val="18"/>
                <w:color w:val="auto"/>
              </w:rPr>
            </w:pPr>
          </w:p>
        </w:tc>
        <w:tc>
          <w:tcPr>
            <w:tcW w:w="1220" w:type="dxa"/>
            <w:vAlign w:val="bottom"/>
            <w:tcBorders>
              <w:bottom w:val="single" w:sz="8" w:color="002F4D"/>
            </w:tcBorders>
          </w:tcPr>
          <w:p>
            <w:pPr>
              <w:jc w:val="right"/>
              <w:ind w:right="129"/>
              <w:spacing w:after="0"/>
              <w:rPr>
                <w:sz w:val="20"/>
                <w:szCs w:val="20"/>
                <w:color w:val="auto"/>
              </w:rPr>
            </w:pPr>
            <w:r>
              <w:rPr>
                <w:rFonts w:ascii="Arial" w:cs="Arial" w:eastAsia="Arial" w:hAnsi="Arial"/>
                <w:sz w:val="13"/>
                <w:szCs w:val="13"/>
                <w:color w:val="auto"/>
              </w:rPr>
              <w:t>(1)</w:t>
            </w:r>
          </w:p>
        </w:tc>
        <w:tc>
          <w:tcPr>
            <w:tcW w:w="1040" w:type="dxa"/>
            <w:vAlign w:val="bottom"/>
            <w:tcBorders>
              <w:bottom w:val="single" w:sz="8" w:color="002F4D"/>
            </w:tcBorders>
          </w:tcPr>
          <w:p>
            <w:pPr>
              <w:jc w:val="right"/>
              <w:ind w:right="85"/>
              <w:spacing w:after="0"/>
              <w:rPr>
                <w:sz w:val="20"/>
                <w:szCs w:val="20"/>
                <w:color w:val="auto"/>
              </w:rPr>
            </w:pPr>
            <w:r>
              <w:rPr>
                <w:rFonts w:ascii="Arial" w:cs="Arial" w:eastAsia="Arial" w:hAnsi="Arial"/>
                <w:sz w:val="15"/>
                <w:szCs w:val="15"/>
                <w:color w:val="auto"/>
              </w:rPr>
              <w:t>108,150</w:t>
            </w:r>
          </w:p>
        </w:tc>
        <w:tc>
          <w:tcPr>
            <w:tcW w:w="880" w:type="dxa"/>
            <w:vAlign w:val="bottom"/>
            <w:tcBorders>
              <w:bottom w:val="single" w:sz="8" w:color="002F4D"/>
            </w:tcBorders>
          </w:tcPr>
          <w:p>
            <w:pPr>
              <w:jc w:val="right"/>
              <w:ind w:right="84"/>
              <w:spacing w:after="0"/>
              <w:rPr>
                <w:sz w:val="20"/>
                <w:szCs w:val="20"/>
                <w:color w:val="auto"/>
              </w:rPr>
            </w:pPr>
            <w:r>
              <w:rPr>
                <w:rFonts w:ascii="Arial" w:cs="Arial" w:eastAsia="Arial" w:hAnsi="Arial"/>
                <w:sz w:val="15"/>
                <w:szCs w:val="15"/>
                <w:color w:val="auto"/>
              </w:rPr>
              <w:t>618,000</w:t>
            </w:r>
          </w:p>
        </w:tc>
        <w:tc>
          <w:tcPr>
            <w:tcW w:w="7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1,236,000</w:t>
            </w:r>
          </w:p>
        </w:tc>
        <w:tc>
          <w:tcPr>
            <w:tcW w:w="200" w:type="dxa"/>
            <w:vAlign w:val="bottom"/>
            <w:tcBorders>
              <w:bottom w:val="single" w:sz="8" w:color="002F4D"/>
            </w:tcBorders>
          </w:tcPr>
          <w:p>
            <w:pPr>
              <w:spacing w:after="0"/>
              <w:rPr>
                <w:sz w:val="18"/>
                <w:szCs w:val="18"/>
                <w:color w:val="auto"/>
              </w:rPr>
            </w:pPr>
          </w:p>
        </w:tc>
        <w:tc>
          <w:tcPr>
            <w:tcW w:w="1120" w:type="dxa"/>
            <w:vAlign w:val="bottom"/>
            <w:tcBorders>
              <w:bottom w:val="single" w:sz="8" w:color="002F4D"/>
            </w:tcBorders>
          </w:tcPr>
          <w:p>
            <w:pPr>
              <w:spacing w:after="0"/>
              <w:rPr>
                <w:sz w:val="18"/>
                <w:szCs w:val="18"/>
                <w:color w:val="auto"/>
              </w:rPr>
            </w:pPr>
          </w:p>
        </w:tc>
        <w:tc>
          <w:tcPr>
            <w:tcW w:w="1060" w:type="dxa"/>
            <w:vAlign w:val="bottom"/>
            <w:tcBorders>
              <w:bottom w:val="single" w:sz="8" w:color="002F4D"/>
            </w:tcBorders>
          </w:tcPr>
          <w:p>
            <w:pPr>
              <w:spacing w:after="0"/>
              <w:rPr>
                <w:sz w:val="18"/>
                <w:szCs w:val="18"/>
                <w:color w:val="auto"/>
              </w:rPr>
            </w:pPr>
          </w:p>
        </w:tc>
        <w:tc>
          <w:tcPr>
            <w:tcW w:w="500" w:type="dxa"/>
            <w:vAlign w:val="bottom"/>
            <w:tcBorders>
              <w:bottom w:val="single" w:sz="8" w:color="002F4D"/>
            </w:tcBorders>
          </w:tcPr>
          <w:p>
            <w:pPr>
              <w:spacing w:after="0"/>
              <w:rPr>
                <w:sz w:val="18"/>
                <w:szCs w:val="18"/>
                <w:color w:val="auto"/>
              </w:rPr>
            </w:pPr>
          </w:p>
        </w:tc>
        <w:tc>
          <w:tcPr>
            <w:tcW w:w="100" w:type="dxa"/>
            <w:vAlign w:val="bottom"/>
            <w:tcBorders>
              <w:bottom w:val="single" w:sz="8" w:color="002F4D"/>
            </w:tcBorders>
          </w:tcPr>
          <w:p>
            <w:pPr>
              <w:spacing w:after="0"/>
              <w:rPr>
                <w:sz w:val="18"/>
                <w:szCs w:val="18"/>
                <w:color w:val="auto"/>
              </w:rPr>
            </w:pPr>
          </w:p>
        </w:tc>
        <w:tc>
          <w:tcPr>
            <w:tcW w:w="1440" w:type="dxa"/>
            <w:vAlign w:val="bottom"/>
            <w:tcBorders>
              <w:bottom w:val="single" w:sz="8" w:color="002F4D"/>
            </w:tcBorders>
          </w:tcPr>
          <w:p>
            <w:pPr>
              <w:spacing w:after="0"/>
              <w:rPr>
                <w:sz w:val="18"/>
                <w:szCs w:val="18"/>
                <w:color w:val="auto"/>
              </w:rPr>
            </w:pPr>
          </w:p>
        </w:tc>
        <w:tc>
          <w:tcPr>
            <w:tcW w:w="980" w:type="dxa"/>
            <w:vAlign w:val="bottom"/>
            <w:tcBorders>
              <w:bottom w:val="single" w:sz="8" w:color="002F4D"/>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960" w:type="dxa"/>
            <w:vAlign w:val="bottom"/>
            <w:tcBorders>
              <w:bottom w:val="single" w:sz="8" w:color="002F4D"/>
            </w:tcBorders>
          </w:tcPr>
          <w:p>
            <w:pPr>
              <w:spacing w:after="0"/>
              <w:rPr>
                <w:sz w:val="18"/>
                <w:szCs w:val="18"/>
                <w:color w:val="auto"/>
              </w:rPr>
            </w:pPr>
          </w:p>
        </w:tc>
        <w:tc>
          <w:tcPr>
            <w:tcW w:w="1220" w:type="dxa"/>
            <w:vAlign w:val="bottom"/>
            <w:tcBorders>
              <w:bottom w:val="single" w:sz="8" w:color="002F4D"/>
            </w:tcBorders>
          </w:tcPr>
          <w:p>
            <w:pPr>
              <w:jc w:val="right"/>
              <w:spacing w:after="0" w:line="207" w:lineRule="exact"/>
              <w:rPr>
                <w:sz w:val="20"/>
                <w:szCs w:val="20"/>
                <w:color w:val="auto"/>
              </w:rPr>
            </w:pPr>
            <w:r>
              <w:rPr>
                <w:rFonts w:ascii="Arial" w:cs="Arial" w:eastAsia="Arial" w:hAnsi="Arial"/>
                <w:sz w:val="15"/>
                <w:szCs w:val="15"/>
                <w:color w:val="auto"/>
              </w:rPr>
              <w:t>5/13/25</w:t>
            </w:r>
            <w:r>
              <w:rPr>
                <w:rFonts w:ascii="Arial" w:cs="Arial" w:eastAsia="Arial" w:hAnsi="Arial"/>
                <w:sz w:val="24"/>
                <w:szCs w:val="24"/>
                <w:color w:val="auto"/>
                <w:vertAlign w:val="superscript"/>
              </w:rPr>
              <w:t>(3)(4)</w:t>
            </w:r>
          </w:p>
        </w:tc>
        <w:tc>
          <w:tcPr>
            <w:tcW w:w="1040" w:type="dxa"/>
            <w:vAlign w:val="bottom"/>
            <w:tcBorders>
              <w:bottom w:val="single" w:sz="8" w:color="002F4D"/>
            </w:tcBorders>
          </w:tcPr>
          <w:p>
            <w:pPr>
              <w:spacing w:after="0"/>
              <w:rPr>
                <w:sz w:val="18"/>
                <w:szCs w:val="18"/>
                <w:color w:val="auto"/>
              </w:rPr>
            </w:pPr>
          </w:p>
        </w:tc>
        <w:tc>
          <w:tcPr>
            <w:tcW w:w="880" w:type="dxa"/>
            <w:vAlign w:val="bottom"/>
            <w:tcBorders>
              <w:bottom w:val="single" w:sz="8" w:color="002F4D"/>
            </w:tcBorders>
          </w:tcPr>
          <w:p>
            <w:pPr>
              <w:spacing w:after="0"/>
              <w:rPr>
                <w:sz w:val="18"/>
                <w:szCs w:val="18"/>
                <w:color w:val="auto"/>
              </w:rPr>
            </w:pPr>
          </w:p>
        </w:tc>
        <w:tc>
          <w:tcPr>
            <w:tcW w:w="740" w:type="dxa"/>
            <w:vAlign w:val="bottom"/>
            <w:tcBorders>
              <w:bottom w:val="single" w:sz="8" w:color="002F4D"/>
            </w:tcBorders>
          </w:tcPr>
          <w:p>
            <w:pPr>
              <w:spacing w:after="0"/>
              <w:rPr>
                <w:sz w:val="18"/>
                <w:szCs w:val="18"/>
                <w:color w:val="auto"/>
              </w:rPr>
            </w:pPr>
          </w:p>
        </w:tc>
        <w:tc>
          <w:tcPr>
            <w:tcW w:w="200" w:type="dxa"/>
            <w:vAlign w:val="bottom"/>
            <w:tcBorders>
              <w:bottom w:val="single" w:sz="8" w:color="002F4D"/>
            </w:tcBorders>
          </w:tcPr>
          <w:p>
            <w:pPr>
              <w:spacing w:after="0"/>
              <w:rPr>
                <w:sz w:val="18"/>
                <w:szCs w:val="18"/>
                <w:color w:val="auto"/>
              </w:rPr>
            </w:pPr>
          </w:p>
        </w:tc>
        <w:tc>
          <w:tcPr>
            <w:tcW w:w="1120" w:type="dxa"/>
            <w:vAlign w:val="bottom"/>
            <w:tcBorders>
              <w:bottom w:val="single" w:sz="8" w:color="002F4D"/>
            </w:tcBorders>
          </w:tcPr>
          <w:p>
            <w:pPr>
              <w:jc w:val="right"/>
              <w:ind w:right="144"/>
              <w:spacing w:after="0"/>
              <w:rPr>
                <w:sz w:val="20"/>
                <w:szCs w:val="20"/>
                <w:color w:val="auto"/>
              </w:rPr>
            </w:pPr>
            <w:r>
              <w:rPr>
                <w:rFonts w:ascii="Arial" w:cs="Arial" w:eastAsia="Arial" w:hAnsi="Arial"/>
                <w:sz w:val="15"/>
                <w:szCs w:val="15"/>
                <w:color w:val="auto"/>
              </w:rPr>
              <w:t>4,169</w:t>
            </w:r>
          </w:p>
        </w:tc>
        <w:tc>
          <w:tcPr>
            <w:tcW w:w="1060" w:type="dxa"/>
            <w:vAlign w:val="bottom"/>
            <w:tcBorders>
              <w:bottom w:val="single" w:sz="8" w:color="002F4D"/>
            </w:tcBorders>
          </w:tcPr>
          <w:p>
            <w:pPr>
              <w:jc w:val="right"/>
              <w:ind w:right="324"/>
              <w:spacing w:after="0"/>
              <w:rPr>
                <w:sz w:val="20"/>
                <w:szCs w:val="20"/>
                <w:color w:val="auto"/>
              </w:rPr>
            </w:pPr>
            <w:r>
              <w:rPr>
                <w:rFonts w:ascii="Arial" w:cs="Arial" w:eastAsia="Arial" w:hAnsi="Arial"/>
                <w:sz w:val="15"/>
                <w:szCs w:val="15"/>
                <w:color w:val="auto"/>
              </w:rPr>
              <w:t>11,910</w:t>
            </w:r>
          </w:p>
        </w:tc>
        <w:tc>
          <w:tcPr>
            <w:tcW w:w="50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30,966</w:t>
            </w:r>
          </w:p>
        </w:tc>
        <w:tc>
          <w:tcPr>
            <w:tcW w:w="100" w:type="dxa"/>
            <w:vAlign w:val="bottom"/>
            <w:tcBorders>
              <w:bottom w:val="single" w:sz="8" w:color="002F4D"/>
            </w:tcBorders>
          </w:tcPr>
          <w:p>
            <w:pPr>
              <w:spacing w:after="0"/>
              <w:rPr>
                <w:sz w:val="18"/>
                <w:szCs w:val="18"/>
                <w:color w:val="auto"/>
              </w:rPr>
            </w:pPr>
          </w:p>
        </w:tc>
        <w:tc>
          <w:tcPr>
            <w:tcW w:w="1440" w:type="dxa"/>
            <w:vAlign w:val="bottom"/>
            <w:tcBorders>
              <w:bottom w:val="single" w:sz="8" w:color="002F4D"/>
            </w:tcBorders>
          </w:tcPr>
          <w:p>
            <w:pPr>
              <w:spacing w:after="0"/>
              <w:rPr>
                <w:sz w:val="18"/>
                <w:szCs w:val="18"/>
                <w:color w:val="auto"/>
              </w:rPr>
            </w:pPr>
          </w:p>
        </w:tc>
        <w:tc>
          <w:tcPr>
            <w:tcW w:w="98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2,063,884</w:t>
            </w:r>
          </w:p>
        </w:tc>
        <w:tc>
          <w:tcPr>
            <w:tcW w:w="0" w:type="dxa"/>
            <w:vAlign w:val="bottom"/>
          </w:tcPr>
          <w:p>
            <w:pPr>
              <w:spacing w:after="0"/>
              <w:rPr>
                <w:sz w:val="1"/>
                <w:szCs w:val="1"/>
                <w:color w:val="auto"/>
              </w:rPr>
            </w:pPr>
          </w:p>
        </w:tc>
      </w:tr>
      <w:tr>
        <w:trPr>
          <w:trHeight w:val="207"/>
        </w:trPr>
        <w:tc>
          <w:tcPr>
            <w:tcW w:w="1960" w:type="dxa"/>
            <w:vAlign w:val="bottom"/>
            <w:tcBorders>
              <w:bottom w:val="single" w:sz="8" w:color="002F4D"/>
            </w:tcBorders>
          </w:tcPr>
          <w:p>
            <w:pPr>
              <w:spacing w:after="0"/>
              <w:rPr>
                <w:sz w:val="18"/>
                <w:szCs w:val="18"/>
                <w:color w:val="auto"/>
              </w:rPr>
            </w:pPr>
          </w:p>
        </w:tc>
        <w:tc>
          <w:tcPr>
            <w:tcW w:w="1220" w:type="dxa"/>
            <w:vAlign w:val="bottom"/>
            <w:tcBorders>
              <w:bottom w:val="single" w:sz="8" w:color="002F4D"/>
            </w:tcBorders>
          </w:tcPr>
          <w:p>
            <w:pPr>
              <w:jc w:val="right"/>
              <w:ind w:right="129"/>
              <w:spacing w:after="0" w:line="207" w:lineRule="exact"/>
              <w:rPr>
                <w:sz w:val="20"/>
                <w:szCs w:val="20"/>
                <w:color w:val="auto"/>
              </w:rPr>
            </w:pPr>
            <w:r>
              <w:rPr>
                <w:rFonts w:ascii="Arial" w:cs="Arial" w:eastAsia="Arial" w:hAnsi="Arial"/>
                <w:sz w:val="15"/>
                <w:szCs w:val="15"/>
                <w:color w:val="auto"/>
              </w:rPr>
              <w:t>5/13/25</w:t>
            </w:r>
            <w:r>
              <w:rPr>
                <w:rFonts w:ascii="Arial" w:cs="Arial" w:eastAsia="Arial" w:hAnsi="Arial"/>
                <w:sz w:val="24"/>
                <w:szCs w:val="24"/>
                <w:color w:val="auto"/>
                <w:vertAlign w:val="superscript"/>
              </w:rPr>
              <w:t>(5)</w:t>
            </w:r>
          </w:p>
        </w:tc>
        <w:tc>
          <w:tcPr>
            <w:tcW w:w="1040" w:type="dxa"/>
            <w:vAlign w:val="bottom"/>
            <w:tcBorders>
              <w:bottom w:val="single" w:sz="8" w:color="002F4D"/>
            </w:tcBorders>
          </w:tcPr>
          <w:p>
            <w:pPr>
              <w:spacing w:after="0"/>
              <w:rPr>
                <w:sz w:val="18"/>
                <w:szCs w:val="18"/>
                <w:color w:val="auto"/>
              </w:rPr>
            </w:pPr>
          </w:p>
        </w:tc>
        <w:tc>
          <w:tcPr>
            <w:tcW w:w="880" w:type="dxa"/>
            <w:vAlign w:val="bottom"/>
            <w:tcBorders>
              <w:bottom w:val="single" w:sz="8" w:color="002F4D"/>
            </w:tcBorders>
          </w:tcPr>
          <w:p>
            <w:pPr>
              <w:spacing w:after="0"/>
              <w:rPr>
                <w:sz w:val="18"/>
                <w:szCs w:val="18"/>
                <w:color w:val="auto"/>
              </w:rPr>
            </w:pPr>
          </w:p>
        </w:tc>
        <w:tc>
          <w:tcPr>
            <w:tcW w:w="740" w:type="dxa"/>
            <w:vAlign w:val="bottom"/>
            <w:tcBorders>
              <w:bottom w:val="single" w:sz="8" w:color="002F4D"/>
            </w:tcBorders>
          </w:tcPr>
          <w:p>
            <w:pPr>
              <w:spacing w:after="0"/>
              <w:rPr>
                <w:sz w:val="18"/>
                <w:szCs w:val="18"/>
                <w:color w:val="auto"/>
              </w:rPr>
            </w:pPr>
          </w:p>
        </w:tc>
        <w:tc>
          <w:tcPr>
            <w:tcW w:w="200" w:type="dxa"/>
            <w:vAlign w:val="bottom"/>
            <w:tcBorders>
              <w:bottom w:val="single" w:sz="8" w:color="002F4D"/>
            </w:tcBorders>
          </w:tcPr>
          <w:p>
            <w:pPr>
              <w:spacing w:after="0"/>
              <w:rPr>
                <w:sz w:val="18"/>
                <w:szCs w:val="18"/>
                <w:color w:val="auto"/>
              </w:rPr>
            </w:pPr>
          </w:p>
        </w:tc>
        <w:tc>
          <w:tcPr>
            <w:tcW w:w="1120" w:type="dxa"/>
            <w:vAlign w:val="bottom"/>
            <w:tcBorders>
              <w:bottom w:val="single" w:sz="8" w:color="002F4D"/>
            </w:tcBorders>
          </w:tcPr>
          <w:p>
            <w:pPr>
              <w:spacing w:after="0"/>
              <w:rPr>
                <w:sz w:val="18"/>
                <w:szCs w:val="18"/>
                <w:color w:val="auto"/>
              </w:rPr>
            </w:pPr>
          </w:p>
        </w:tc>
        <w:tc>
          <w:tcPr>
            <w:tcW w:w="1060" w:type="dxa"/>
            <w:vAlign w:val="bottom"/>
            <w:tcBorders>
              <w:bottom w:val="single" w:sz="8" w:color="002F4D"/>
            </w:tcBorders>
          </w:tcPr>
          <w:p>
            <w:pPr>
              <w:spacing w:after="0"/>
              <w:rPr>
                <w:sz w:val="18"/>
                <w:szCs w:val="18"/>
                <w:color w:val="auto"/>
              </w:rPr>
            </w:pPr>
          </w:p>
        </w:tc>
        <w:tc>
          <w:tcPr>
            <w:tcW w:w="500" w:type="dxa"/>
            <w:vAlign w:val="bottom"/>
            <w:tcBorders>
              <w:bottom w:val="single" w:sz="8" w:color="002F4D"/>
            </w:tcBorders>
          </w:tcPr>
          <w:p>
            <w:pPr>
              <w:spacing w:after="0"/>
              <w:rPr>
                <w:sz w:val="18"/>
                <w:szCs w:val="18"/>
                <w:color w:val="auto"/>
              </w:rPr>
            </w:pPr>
          </w:p>
        </w:tc>
        <w:tc>
          <w:tcPr>
            <w:tcW w:w="100" w:type="dxa"/>
            <w:vAlign w:val="bottom"/>
            <w:tcBorders>
              <w:bottom w:val="single" w:sz="8" w:color="002F4D"/>
            </w:tcBorders>
          </w:tcPr>
          <w:p>
            <w:pPr>
              <w:spacing w:after="0"/>
              <w:rPr>
                <w:sz w:val="18"/>
                <w:szCs w:val="18"/>
                <w:color w:val="auto"/>
              </w:rPr>
            </w:pPr>
          </w:p>
        </w:tc>
        <w:tc>
          <w:tcPr>
            <w:tcW w:w="1440" w:type="dxa"/>
            <w:vAlign w:val="bottom"/>
            <w:tcBorders>
              <w:bottom w:val="single" w:sz="8" w:color="002F4D"/>
            </w:tcBorders>
          </w:tcPr>
          <w:p>
            <w:pPr>
              <w:jc w:val="right"/>
              <w:ind w:right="44"/>
              <w:spacing w:after="0"/>
              <w:rPr>
                <w:sz w:val="20"/>
                <w:szCs w:val="20"/>
                <w:color w:val="auto"/>
              </w:rPr>
            </w:pPr>
            <w:r>
              <w:rPr>
                <w:rFonts w:ascii="Arial" w:cs="Arial" w:eastAsia="Arial" w:hAnsi="Arial"/>
                <w:sz w:val="15"/>
                <w:szCs w:val="15"/>
                <w:color w:val="auto"/>
              </w:rPr>
              <w:t>5,955</w:t>
            </w:r>
          </w:p>
        </w:tc>
        <w:tc>
          <w:tcPr>
            <w:tcW w:w="98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892,714</w:t>
            </w:r>
          </w:p>
        </w:tc>
        <w:tc>
          <w:tcPr>
            <w:tcW w:w="0" w:type="dxa"/>
            <w:vAlign w:val="bottom"/>
          </w:tcPr>
          <w:p>
            <w:pPr>
              <w:spacing w:after="0"/>
              <w:rPr>
                <w:sz w:val="1"/>
                <w:szCs w:val="1"/>
                <w:color w:val="auto"/>
              </w:rPr>
            </w:pPr>
          </w:p>
        </w:tc>
      </w:tr>
      <w:tr>
        <w:trPr>
          <w:trHeight w:val="169"/>
        </w:trPr>
        <w:tc>
          <w:tcPr>
            <w:tcW w:w="196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b w:val="1"/>
                <w:bCs w:val="1"/>
                <w:color w:val="auto"/>
              </w:rPr>
              <w:t>Matthew R. Fuchsen</w:t>
            </w:r>
          </w:p>
        </w:tc>
        <w:tc>
          <w:tcPr>
            <w:tcW w:w="1220" w:type="dxa"/>
            <w:vAlign w:val="bottom"/>
            <w:tcBorders>
              <w:bottom w:val="single" w:sz="8" w:color="002F4D"/>
            </w:tcBorders>
          </w:tcPr>
          <w:p>
            <w:pPr>
              <w:spacing w:after="0"/>
              <w:rPr>
                <w:sz w:val="14"/>
                <w:szCs w:val="14"/>
                <w:color w:val="auto"/>
              </w:rPr>
            </w:pPr>
          </w:p>
        </w:tc>
        <w:tc>
          <w:tcPr>
            <w:tcW w:w="1040" w:type="dxa"/>
            <w:vAlign w:val="bottom"/>
            <w:tcBorders>
              <w:bottom w:val="single" w:sz="8" w:color="002F4D"/>
            </w:tcBorders>
          </w:tcPr>
          <w:p>
            <w:pPr>
              <w:spacing w:after="0"/>
              <w:rPr>
                <w:sz w:val="14"/>
                <w:szCs w:val="14"/>
                <w:color w:val="auto"/>
              </w:rPr>
            </w:pPr>
          </w:p>
        </w:tc>
        <w:tc>
          <w:tcPr>
            <w:tcW w:w="880" w:type="dxa"/>
            <w:vAlign w:val="bottom"/>
            <w:tcBorders>
              <w:bottom w:val="single" w:sz="8" w:color="002F4D"/>
            </w:tcBorders>
          </w:tcPr>
          <w:p>
            <w:pPr>
              <w:spacing w:after="0"/>
              <w:rPr>
                <w:sz w:val="14"/>
                <w:szCs w:val="14"/>
                <w:color w:val="auto"/>
              </w:rPr>
            </w:pPr>
          </w:p>
        </w:tc>
        <w:tc>
          <w:tcPr>
            <w:tcW w:w="740" w:type="dxa"/>
            <w:vAlign w:val="bottom"/>
            <w:tcBorders>
              <w:bottom w:val="single" w:sz="8" w:color="002F4D"/>
            </w:tcBorders>
          </w:tcPr>
          <w:p>
            <w:pPr>
              <w:spacing w:after="0"/>
              <w:rPr>
                <w:sz w:val="14"/>
                <w:szCs w:val="14"/>
                <w:color w:val="auto"/>
              </w:rPr>
            </w:pPr>
          </w:p>
        </w:tc>
        <w:tc>
          <w:tcPr>
            <w:tcW w:w="200" w:type="dxa"/>
            <w:vAlign w:val="bottom"/>
            <w:tcBorders>
              <w:bottom w:val="single" w:sz="8" w:color="002F4D"/>
            </w:tcBorders>
          </w:tcPr>
          <w:p>
            <w:pPr>
              <w:spacing w:after="0"/>
              <w:rPr>
                <w:sz w:val="14"/>
                <w:szCs w:val="14"/>
                <w:color w:val="auto"/>
              </w:rPr>
            </w:pPr>
          </w:p>
        </w:tc>
        <w:tc>
          <w:tcPr>
            <w:tcW w:w="1120" w:type="dxa"/>
            <w:vAlign w:val="bottom"/>
            <w:tcBorders>
              <w:bottom w:val="single" w:sz="8" w:color="002F4D"/>
            </w:tcBorders>
          </w:tcPr>
          <w:p>
            <w:pPr>
              <w:spacing w:after="0"/>
              <w:rPr>
                <w:sz w:val="14"/>
                <w:szCs w:val="14"/>
                <w:color w:val="auto"/>
              </w:rPr>
            </w:pPr>
          </w:p>
        </w:tc>
        <w:tc>
          <w:tcPr>
            <w:tcW w:w="1060" w:type="dxa"/>
            <w:vAlign w:val="bottom"/>
            <w:tcBorders>
              <w:bottom w:val="single" w:sz="8" w:color="002F4D"/>
            </w:tcBorders>
          </w:tcPr>
          <w:p>
            <w:pPr>
              <w:spacing w:after="0"/>
              <w:rPr>
                <w:sz w:val="14"/>
                <w:szCs w:val="14"/>
                <w:color w:val="auto"/>
              </w:rPr>
            </w:pPr>
          </w:p>
        </w:tc>
        <w:tc>
          <w:tcPr>
            <w:tcW w:w="500" w:type="dxa"/>
            <w:vAlign w:val="bottom"/>
            <w:tcBorders>
              <w:bottom w:val="single" w:sz="8" w:color="002F4D"/>
            </w:tcBorders>
          </w:tcPr>
          <w:p>
            <w:pPr>
              <w:spacing w:after="0"/>
              <w:rPr>
                <w:sz w:val="14"/>
                <w:szCs w:val="14"/>
                <w:color w:val="auto"/>
              </w:rPr>
            </w:pPr>
          </w:p>
        </w:tc>
        <w:tc>
          <w:tcPr>
            <w:tcW w:w="100" w:type="dxa"/>
            <w:vAlign w:val="bottom"/>
            <w:tcBorders>
              <w:bottom w:val="single" w:sz="8" w:color="002F4D"/>
            </w:tcBorders>
          </w:tcPr>
          <w:p>
            <w:pPr>
              <w:spacing w:after="0"/>
              <w:rPr>
                <w:sz w:val="14"/>
                <w:szCs w:val="14"/>
                <w:color w:val="auto"/>
              </w:rPr>
            </w:pPr>
          </w:p>
        </w:tc>
        <w:tc>
          <w:tcPr>
            <w:tcW w:w="1440" w:type="dxa"/>
            <w:vAlign w:val="bottom"/>
            <w:tcBorders>
              <w:bottom w:val="single" w:sz="8" w:color="002F4D"/>
            </w:tcBorders>
          </w:tcPr>
          <w:p>
            <w:pPr>
              <w:spacing w:after="0"/>
              <w:rPr>
                <w:sz w:val="14"/>
                <w:szCs w:val="14"/>
                <w:color w:val="auto"/>
              </w:rPr>
            </w:pPr>
          </w:p>
        </w:tc>
        <w:tc>
          <w:tcPr>
            <w:tcW w:w="980" w:type="dxa"/>
            <w:vAlign w:val="bottom"/>
            <w:tcBorders>
              <w:bottom w:val="single" w:sz="8" w:color="002F4D"/>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960" w:type="dxa"/>
            <w:vAlign w:val="bottom"/>
            <w:tcBorders>
              <w:bottom w:val="single" w:sz="8" w:color="002F4D"/>
            </w:tcBorders>
          </w:tcPr>
          <w:p>
            <w:pPr>
              <w:spacing w:after="0"/>
              <w:rPr>
                <w:sz w:val="14"/>
                <w:szCs w:val="14"/>
                <w:color w:val="auto"/>
              </w:rPr>
            </w:pPr>
          </w:p>
        </w:tc>
        <w:tc>
          <w:tcPr>
            <w:tcW w:w="1220" w:type="dxa"/>
            <w:vAlign w:val="bottom"/>
            <w:tcBorders>
              <w:bottom w:val="single" w:sz="8" w:color="002F4D"/>
            </w:tcBorders>
          </w:tcPr>
          <w:p>
            <w:pPr>
              <w:jc w:val="right"/>
              <w:ind w:right="129"/>
              <w:spacing w:after="0"/>
              <w:rPr>
                <w:sz w:val="20"/>
                <w:szCs w:val="20"/>
                <w:color w:val="auto"/>
              </w:rPr>
            </w:pPr>
            <w:r>
              <w:rPr>
                <w:rFonts w:ascii="Arial" w:cs="Arial" w:eastAsia="Arial" w:hAnsi="Arial"/>
                <w:sz w:val="13"/>
                <w:szCs w:val="13"/>
                <w:color w:val="auto"/>
              </w:rPr>
              <w:t>(1)</w:t>
            </w:r>
          </w:p>
        </w:tc>
        <w:tc>
          <w:tcPr>
            <w:tcW w:w="1040" w:type="dxa"/>
            <w:vAlign w:val="bottom"/>
            <w:tcBorders>
              <w:bottom w:val="single" w:sz="8" w:color="002F4D"/>
            </w:tcBorders>
          </w:tcPr>
          <w:p>
            <w:pPr>
              <w:jc w:val="right"/>
              <w:ind w:right="85"/>
              <w:spacing w:after="0" w:line="169" w:lineRule="exact"/>
              <w:rPr>
                <w:sz w:val="20"/>
                <w:szCs w:val="20"/>
                <w:color w:val="auto"/>
              </w:rPr>
            </w:pPr>
            <w:r>
              <w:rPr>
                <w:rFonts w:ascii="Arial" w:cs="Arial" w:eastAsia="Arial" w:hAnsi="Arial"/>
                <w:sz w:val="15"/>
                <w:szCs w:val="15"/>
                <w:color w:val="auto"/>
              </w:rPr>
              <w:t>75,705</w:t>
            </w:r>
          </w:p>
        </w:tc>
        <w:tc>
          <w:tcPr>
            <w:tcW w:w="880" w:type="dxa"/>
            <w:vAlign w:val="bottom"/>
            <w:tcBorders>
              <w:bottom w:val="single" w:sz="8" w:color="002F4D"/>
            </w:tcBorders>
          </w:tcPr>
          <w:p>
            <w:pPr>
              <w:jc w:val="right"/>
              <w:ind w:right="84"/>
              <w:spacing w:after="0" w:line="169" w:lineRule="exact"/>
              <w:rPr>
                <w:sz w:val="20"/>
                <w:szCs w:val="20"/>
                <w:color w:val="auto"/>
              </w:rPr>
            </w:pPr>
            <w:r>
              <w:rPr>
                <w:rFonts w:ascii="Arial" w:cs="Arial" w:eastAsia="Arial" w:hAnsi="Arial"/>
                <w:sz w:val="15"/>
                <w:szCs w:val="15"/>
                <w:color w:val="auto"/>
              </w:rPr>
              <w:t>432,600</w:t>
            </w:r>
          </w:p>
        </w:tc>
        <w:tc>
          <w:tcPr>
            <w:tcW w:w="740" w:type="dxa"/>
            <w:vAlign w:val="bottom"/>
            <w:tcBorders>
              <w:bottom w:val="single" w:sz="8" w:color="002F4D"/>
            </w:tcBorders>
          </w:tcPr>
          <w:p>
            <w:pPr>
              <w:jc w:val="right"/>
              <w:spacing w:after="0" w:line="169" w:lineRule="exact"/>
              <w:rPr>
                <w:sz w:val="20"/>
                <w:szCs w:val="20"/>
                <w:color w:val="auto"/>
              </w:rPr>
            </w:pPr>
            <w:r>
              <w:rPr>
                <w:rFonts w:ascii="Arial" w:cs="Arial" w:eastAsia="Arial" w:hAnsi="Arial"/>
                <w:sz w:val="15"/>
                <w:szCs w:val="15"/>
                <w:color w:val="auto"/>
              </w:rPr>
              <w:t>865,200</w:t>
            </w:r>
          </w:p>
        </w:tc>
        <w:tc>
          <w:tcPr>
            <w:tcW w:w="200" w:type="dxa"/>
            <w:vAlign w:val="bottom"/>
            <w:tcBorders>
              <w:bottom w:val="single" w:sz="8" w:color="002F4D"/>
            </w:tcBorders>
          </w:tcPr>
          <w:p>
            <w:pPr>
              <w:spacing w:after="0"/>
              <w:rPr>
                <w:sz w:val="14"/>
                <w:szCs w:val="14"/>
                <w:color w:val="auto"/>
              </w:rPr>
            </w:pPr>
          </w:p>
        </w:tc>
        <w:tc>
          <w:tcPr>
            <w:tcW w:w="1120" w:type="dxa"/>
            <w:vAlign w:val="bottom"/>
            <w:tcBorders>
              <w:bottom w:val="single" w:sz="8" w:color="002F4D"/>
            </w:tcBorders>
          </w:tcPr>
          <w:p>
            <w:pPr>
              <w:spacing w:after="0"/>
              <w:rPr>
                <w:sz w:val="14"/>
                <w:szCs w:val="14"/>
                <w:color w:val="auto"/>
              </w:rPr>
            </w:pPr>
          </w:p>
        </w:tc>
        <w:tc>
          <w:tcPr>
            <w:tcW w:w="1060" w:type="dxa"/>
            <w:vAlign w:val="bottom"/>
            <w:tcBorders>
              <w:bottom w:val="single" w:sz="8" w:color="002F4D"/>
            </w:tcBorders>
          </w:tcPr>
          <w:p>
            <w:pPr>
              <w:spacing w:after="0"/>
              <w:rPr>
                <w:sz w:val="14"/>
                <w:szCs w:val="14"/>
                <w:color w:val="auto"/>
              </w:rPr>
            </w:pPr>
          </w:p>
        </w:tc>
        <w:tc>
          <w:tcPr>
            <w:tcW w:w="500" w:type="dxa"/>
            <w:vAlign w:val="bottom"/>
            <w:tcBorders>
              <w:bottom w:val="single" w:sz="8" w:color="002F4D"/>
            </w:tcBorders>
          </w:tcPr>
          <w:p>
            <w:pPr>
              <w:spacing w:after="0"/>
              <w:rPr>
                <w:sz w:val="14"/>
                <w:szCs w:val="14"/>
                <w:color w:val="auto"/>
              </w:rPr>
            </w:pPr>
          </w:p>
        </w:tc>
        <w:tc>
          <w:tcPr>
            <w:tcW w:w="100" w:type="dxa"/>
            <w:vAlign w:val="bottom"/>
            <w:tcBorders>
              <w:bottom w:val="single" w:sz="8" w:color="002F4D"/>
            </w:tcBorders>
          </w:tcPr>
          <w:p>
            <w:pPr>
              <w:spacing w:after="0"/>
              <w:rPr>
                <w:sz w:val="14"/>
                <w:szCs w:val="14"/>
                <w:color w:val="auto"/>
              </w:rPr>
            </w:pPr>
          </w:p>
        </w:tc>
        <w:tc>
          <w:tcPr>
            <w:tcW w:w="1440" w:type="dxa"/>
            <w:vAlign w:val="bottom"/>
            <w:tcBorders>
              <w:bottom w:val="single" w:sz="8" w:color="002F4D"/>
            </w:tcBorders>
          </w:tcPr>
          <w:p>
            <w:pPr>
              <w:spacing w:after="0"/>
              <w:rPr>
                <w:sz w:val="14"/>
                <w:szCs w:val="14"/>
                <w:color w:val="auto"/>
              </w:rPr>
            </w:pPr>
          </w:p>
        </w:tc>
        <w:tc>
          <w:tcPr>
            <w:tcW w:w="980" w:type="dxa"/>
            <w:vAlign w:val="bottom"/>
            <w:tcBorders>
              <w:bottom w:val="single" w:sz="8" w:color="002F4D"/>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960" w:type="dxa"/>
            <w:vAlign w:val="bottom"/>
            <w:tcBorders>
              <w:bottom w:val="single" w:sz="8" w:color="002F4D"/>
            </w:tcBorders>
          </w:tcPr>
          <w:p>
            <w:pPr>
              <w:spacing w:after="0"/>
              <w:rPr>
                <w:sz w:val="18"/>
                <w:szCs w:val="18"/>
                <w:color w:val="auto"/>
              </w:rPr>
            </w:pPr>
          </w:p>
        </w:tc>
        <w:tc>
          <w:tcPr>
            <w:tcW w:w="1220" w:type="dxa"/>
            <w:vAlign w:val="bottom"/>
            <w:tcBorders>
              <w:bottom w:val="single" w:sz="8" w:color="002F4D"/>
            </w:tcBorders>
          </w:tcPr>
          <w:p>
            <w:pPr>
              <w:jc w:val="right"/>
              <w:spacing w:after="0" w:line="207" w:lineRule="exact"/>
              <w:rPr>
                <w:sz w:val="20"/>
                <w:szCs w:val="20"/>
                <w:color w:val="auto"/>
              </w:rPr>
            </w:pPr>
            <w:r>
              <w:rPr>
                <w:rFonts w:ascii="Arial" w:cs="Arial" w:eastAsia="Arial" w:hAnsi="Arial"/>
                <w:sz w:val="15"/>
                <w:szCs w:val="15"/>
                <w:color w:val="auto"/>
              </w:rPr>
              <w:t>5/13/25</w:t>
            </w:r>
            <w:r>
              <w:rPr>
                <w:rFonts w:ascii="Arial" w:cs="Arial" w:eastAsia="Arial" w:hAnsi="Arial"/>
                <w:sz w:val="24"/>
                <w:szCs w:val="24"/>
                <w:color w:val="auto"/>
                <w:vertAlign w:val="superscript"/>
              </w:rPr>
              <w:t>(3)(4)</w:t>
            </w:r>
          </w:p>
        </w:tc>
        <w:tc>
          <w:tcPr>
            <w:tcW w:w="1040" w:type="dxa"/>
            <w:vAlign w:val="bottom"/>
            <w:tcBorders>
              <w:bottom w:val="single" w:sz="8" w:color="002F4D"/>
            </w:tcBorders>
          </w:tcPr>
          <w:p>
            <w:pPr>
              <w:spacing w:after="0"/>
              <w:rPr>
                <w:sz w:val="18"/>
                <w:szCs w:val="18"/>
                <w:color w:val="auto"/>
              </w:rPr>
            </w:pPr>
          </w:p>
        </w:tc>
        <w:tc>
          <w:tcPr>
            <w:tcW w:w="880" w:type="dxa"/>
            <w:vAlign w:val="bottom"/>
            <w:tcBorders>
              <w:bottom w:val="single" w:sz="8" w:color="002F4D"/>
            </w:tcBorders>
          </w:tcPr>
          <w:p>
            <w:pPr>
              <w:spacing w:after="0"/>
              <w:rPr>
                <w:sz w:val="18"/>
                <w:szCs w:val="18"/>
                <w:color w:val="auto"/>
              </w:rPr>
            </w:pPr>
          </w:p>
        </w:tc>
        <w:tc>
          <w:tcPr>
            <w:tcW w:w="740" w:type="dxa"/>
            <w:vAlign w:val="bottom"/>
            <w:tcBorders>
              <w:bottom w:val="single" w:sz="8" w:color="002F4D"/>
            </w:tcBorders>
          </w:tcPr>
          <w:p>
            <w:pPr>
              <w:spacing w:after="0"/>
              <w:rPr>
                <w:sz w:val="18"/>
                <w:szCs w:val="18"/>
                <w:color w:val="auto"/>
              </w:rPr>
            </w:pPr>
          </w:p>
        </w:tc>
        <w:tc>
          <w:tcPr>
            <w:tcW w:w="200" w:type="dxa"/>
            <w:vAlign w:val="bottom"/>
            <w:tcBorders>
              <w:bottom w:val="single" w:sz="8" w:color="002F4D"/>
            </w:tcBorders>
          </w:tcPr>
          <w:p>
            <w:pPr>
              <w:spacing w:after="0"/>
              <w:rPr>
                <w:sz w:val="18"/>
                <w:szCs w:val="18"/>
                <w:color w:val="auto"/>
              </w:rPr>
            </w:pPr>
          </w:p>
        </w:tc>
        <w:tc>
          <w:tcPr>
            <w:tcW w:w="1120" w:type="dxa"/>
            <w:vAlign w:val="bottom"/>
            <w:tcBorders>
              <w:bottom w:val="single" w:sz="8" w:color="002F4D"/>
            </w:tcBorders>
          </w:tcPr>
          <w:p>
            <w:pPr>
              <w:jc w:val="right"/>
              <w:ind w:right="144"/>
              <w:spacing w:after="0"/>
              <w:rPr>
                <w:sz w:val="20"/>
                <w:szCs w:val="20"/>
                <w:color w:val="auto"/>
              </w:rPr>
            </w:pPr>
            <w:r>
              <w:rPr>
                <w:rFonts w:ascii="Arial" w:cs="Arial" w:eastAsia="Arial" w:hAnsi="Arial"/>
                <w:sz w:val="15"/>
                <w:szCs w:val="15"/>
                <w:color w:val="auto"/>
              </w:rPr>
              <w:t>2,285</w:t>
            </w:r>
          </w:p>
        </w:tc>
        <w:tc>
          <w:tcPr>
            <w:tcW w:w="1060" w:type="dxa"/>
            <w:vAlign w:val="bottom"/>
            <w:tcBorders>
              <w:bottom w:val="single" w:sz="8" w:color="002F4D"/>
            </w:tcBorders>
          </w:tcPr>
          <w:p>
            <w:pPr>
              <w:jc w:val="right"/>
              <w:ind w:right="324"/>
              <w:spacing w:after="0"/>
              <w:rPr>
                <w:sz w:val="20"/>
                <w:szCs w:val="20"/>
                <w:color w:val="auto"/>
              </w:rPr>
            </w:pPr>
            <w:r>
              <w:rPr>
                <w:rFonts w:ascii="Arial" w:cs="Arial" w:eastAsia="Arial" w:hAnsi="Arial"/>
                <w:sz w:val="15"/>
                <w:szCs w:val="15"/>
                <w:color w:val="auto"/>
              </w:rPr>
              <w:t>6,527</w:t>
            </w:r>
          </w:p>
        </w:tc>
        <w:tc>
          <w:tcPr>
            <w:tcW w:w="50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16,971</w:t>
            </w:r>
          </w:p>
        </w:tc>
        <w:tc>
          <w:tcPr>
            <w:tcW w:w="100" w:type="dxa"/>
            <w:vAlign w:val="bottom"/>
            <w:tcBorders>
              <w:bottom w:val="single" w:sz="8" w:color="002F4D"/>
            </w:tcBorders>
          </w:tcPr>
          <w:p>
            <w:pPr>
              <w:spacing w:after="0"/>
              <w:rPr>
                <w:sz w:val="18"/>
                <w:szCs w:val="18"/>
                <w:color w:val="auto"/>
              </w:rPr>
            </w:pPr>
          </w:p>
        </w:tc>
        <w:tc>
          <w:tcPr>
            <w:tcW w:w="1440" w:type="dxa"/>
            <w:vAlign w:val="bottom"/>
            <w:tcBorders>
              <w:bottom w:val="single" w:sz="8" w:color="002F4D"/>
            </w:tcBorders>
          </w:tcPr>
          <w:p>
            <w:pPr>
              <w:spacing w:after="0"/>
              <w:rPr>
                <w:sz w:val="18"/>
                <w:szCs w:val="18"/>
                <w:color w:val="auto"/>
              </w:rPr>
            </w:pPr>
          </w:p>
        </w:tc>
        <w:tc>
          <w:tcPr>
            <w:tcW w:w="98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1,131,064</w:t>
            </w:r>
          </w:p>
        </w:tc>
        <w:tc>
          <w:tcPr>
            <w:tcW w:w="0" w:type="dxa"/>
            <w:vAlign w:val="bottom"/>
          </w:tcPr>
          <w:p>
            <w:pPr>
              <w:spacing w:after="0"/>
              <w:rPr>
                <w:sz w:val="1"/>
                <w:szCs w:val="1"/>
                <w:color w:val="auto"/>
              </w:rPr>
            </w:pPr>
          </w:p>
        </w:tc>
      </w:tr>
      <w:tr>
        <w:trPr>
          <w:trHeight w:val="212"/>
        </w:trPr>
        <w:tc>
          <w:tcPr>
            <w:tcW w:w="1960" w:type="dxa"/>
            <w:vAlign w:val="bottom"/>
            <w:tcBorders>
              <w:bottom w:val="single" w:sz="8" w:color="002F4D"/>
            </w:tcBorders>
          </w:tcPr>
          <w:p>
            <w:pPr>
              <w:spacing w:after="0"/>
              <w:rPr>
                <w:sz w:val="18"/>
                <w:szCs w:val="18"/>
                <w:color w:val="auto"/>
              </w:rPr>
            </w:pPr>
          </w:p>
        </w:tc>
        <w:tc>
          <w:tcPr>
            <w:tcW w:w="1220" w:type="dxa"/>
            <w:vAlign w:val="bottom"/>
            <w:tcBorders>
              <w:bottom w:val="single" w:sz="8" w:color="002F4D"/>
            </w:tcBorders>
          </w:tcPr>
          <w:p>
            <w:pPr>
              <w:jc w:val="right"/>
              <w:ind w:right="129"/>
              <w:spacing w:after="0" w:line="207" w:lineRule="exact"/>
              <w:rPr>
                <w:sz w:val="20"/>
                <w:szCs w:val="20"/>
                <w:color w:val="auto"/>
              </w:rPr>
            </w:pPr>
            <w:r>
              <w:rPr>
                <w:rFonts w:ascii="Arial" w:cs="Arial" w:eastAsia="Arial" w:hAnsi="Arial"/>
                <w:sz w:val="15"/>
                <w:szCs w:val="15"/>
                <w:color w:val="auto"/>
              </w:rPr>
              <w:t>5/13/25</w:t>
            </w:r>
            <w:r>
              <w:rPr>
                <w:rFonts w:ascii="Arial" w:cs="Arial" w:eastAsia="Arial" w:hAnsi="Arial"/>
                <w:sz w:val="24"/>
                <w:szCs w:val="24"/>
                <w:color w:val="auto"/>
                <w:vertAlign w:val="superscript"/>
              </w:rPr>
              <w:t>(5)</w:t>
            </w:r>
          </w:p>
        </w:tc>
        <w:tc>
          <w:tcPr>
            <w:tcW w:w="1040" w:type="dxa"/>
            <w:vAlign w:val="bottom"/>
            <w:tcBorders>
              <w:bottom w:val="single" w:sz="8" w:color="002F4D"/>
            </w:tcBorders>
          </w:tcPr>
          <w:p>
            <w:pPr>
              <w:spacing w:after="0"/>
              <w:rPr>
                <w:sz w:val="18"/>
                <w:szCs w:val="18"/>
                <w:color w:val="auto"/>
              </w:rPr>
            </w:pPr>
          </w:p>
        </w:tc>
        <w:tc>
          <w:tcPr>
            <w:tcW w:w="880" w:type="dxa"/>
            <w:vAlign w:val="bottom"/>
            <w:tcBorders>
              <w:bottom w:val="single" w:sz="8" w:color="002F4D"/>
            </w:tcBorders>
          </w:tcPr>
          <w:p>
            <w:pPr>
              <w:spacing w:after="0"/>
              <w:rPr>
                <w:sz w:val="18"/>
                <w:szCs w:val="18"/>
                <w:color w:val="auto"/>
              </w:rPr>
            </w:pPr>
          </w:p>
        </w:tc>
        <w:tc>
          <w:tcPr>
            <w:tcW w:w="740" w:type="dxa"/>
            <w:vAlign w:val="bottom"/>
            <w:tcBorders>
              <w:bottom w:val="single" w:sz="8" w:color="002F4D"/>
            </w:tcBorders>
          </w:tcPr>
          <w:p>
            <w:pPr>
              <w:spacing w:after="0"/>
              <w:rPr>
                <w:sz w:val="18"/>
                <w:szCs w:val="18"/>
                <w:color w:val="auto"/>
              </w:rPr>
            </w:pPr>
          </w:p>
        </w:tc>
        <w:tc>
          <w:tcPr>
            <w:tcW w:w="200" w:type="dxa"/>
            <w:vAlign w:val="bottom"/>
            <w:tcBorders>
              <w:bottom w:val="single" w:sz="8" w:color="002F4D"/>
            </w:tcBorders>
          </w:tcPr>
          <w:p>
            <w:pPr>
              <w:spacing w:after="0"/>
              <w:rPr>
                <w:sz w:val="18"/>
                <w:szCs w:val="18"/>
                <w:color w:val="auto"/>
              </w:rPr>
            </w:pPr>
          </w:p>
        </w:tc>
        <w:tc>
          <w:tcPr>
            <w:tcW w:w="1120" w:type="dxa"/>
            <w:vAlign w:val="bottom"/>
            <w:tcBorders>
              <w:bottom w:val="single" w:sz="8" w:color="002F4D"/>
            </w:tcBorders>
          </w:tcPr>
          <w:p>
            <w:pPr>
              <w:spacing w:after="0"/>
              <w:rPr>
                <w:sz w:val="18"/>
                <w:szCs w:val="18"/>
                <w:color w:val="auto"/>
              </w:rPr>
            </w:pPr>
          </w:p>
        </w:tc>
        <w:tc>
          <w:tcPr>
            <w:tcW w:w="1060" w:type="dxa"/>
            <w:vAlign w:val="bottom"/>
            <w:tcBorders>
              <w:bottom w:val="single" w:sz="8" w:color="002F4D"/>
            </w:tcBorders>
          </w:tcPr>
          <w:p>
            <w:pPr>
              <w:spacing w:after="0"/>
              <w:rPr>
                <w:sz w:val="18"/>
                <w:szCs w:val="18"/>
                <w:color w:val="auto"/>
              </w:rPr>
            </w:pPr>
          </w:p>
        </w:tc>
        <w:tc>
          <w:tcPr>
            <w:tcW w:w="500" w:type="dxa"/>
            <w:vAlign w:val="bottom"/>
            <w:tcBorders>
              <w:bottom w:val="single" w:sz="8" w:color="002F4D"/>
            </w:tcBorders>
          </w:tcPr>
          <w:p>
            <w:pPr>
              <w:spacing w:after="0"/>
              <w:rPr>
                <w:sz w:val="18"/>
                <w:szCs w:val="18"/>
                <w:color w:val="auto"/>
              </w:rPr>
            </w:pPr>
          </w:p>
        </w:tc>
        <w:tc>
          <w:tcPr>
            <w:tcW w:w="100" w:type="dxa"/>
            <w:vAlign w:val="bottom"/>
            <w:tcBorders>
              <w:bottom w:val="single" w:sz="8" w:color="002F4D"/>
            </w:tcBorders>
          </w:tcPr>
          <w:p>
            <w:pPr>
              <w:spacing w:after="0"/>
              <w:rPr>
                <w:sz w:val="18"/>
                <w:szCs w:val="18"/>
                <w:color w:val="auto"/>
              </w:rPr>
            </w:pPr>
          </w:p>
        </w:tc>
        <w:tc>
          <w:tcPr>
            <w:tcW w:w="1440" w:type="dxa"/>
            <w:vAlign w:val="bottom"/>
            <w:tcBorders>
              <w:bottom w:val="single" w:sz="8" w:color="002F4D"/>
            </w:tcBorders>
          </w:tcPr>
          <w:p>
            <w:pPr>
              <w:jc w:val="right"/>
              <w:ind w:right="44"/>
              <w:spacing w:after="0"/>
              <w:rPr>
                <w:sz w:val="20"/>
                <w:szCs w:val="20"/>
                <w:color w:val="auto"/>
              </w:rPr>
            </w:pPr>
            <w:r>
              <w:rPr>
                <w:rFonts w:ascii="Arial" w:cs="Arial" w:eastAsia="Arial" w:hAnsi="Arial"/>
                <w:sz w:val="15"/>
                <w:szCs w:val="15"/>
                <w:color w:val="auto"/>
              </w:rPr>
              <w:t>3,264</w:t>
            </w:r>
          </w:p>
        </w:tc>
        <w:tc>
          <w:tcPr>
            <w:tcW w:w="98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489,306</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00" w:hanging="299"/>
        <w:spacing w:after="0"/>
        <w:tabs>
          <w:tab w:leader="none" w:pos="3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Annual incentive plan award granted pursuant to the VCIP utilizing EBITDA$and EBITDA% performance metrics.</w:t>
      </w:r>
    </w:p>
    <w:p>
      <w:pPr>
        <w:spacing w:after="0" w:line="52" w:lineRule="exact"/>
        <w:rPr>
          <w:rFonts w:ascii="Arial" w:cs="Arial" w:eastAsia="Arial" w:hAnsi="Arial"/>
          <w:sz w:val="13"/>
          <w:szCs w:val="13"/>
          <w:color w:val="auto"/>
        </w:rPr>
      </w:pPr>
    </w:p>
    <w:p>
      <w:pPr>
        <w:jc w:val="both"/>
        <w:ind w:left="300" w:hanging="299"/>
        <w:spacing w:after="0" w:line="250" w:lineRule="auto"/>
        <w:tabs>
          <w:tab w:leader="none" w:pos="3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Represents the fair value on the grant date of equity awards granted to our Named Executive Officers, consistent with the estimate of the aggregate compensation cost to be recognized over the applicable service period determined in accordance with FASB ASC Topic 718, excluding the effect of estimated forfeitures. For the RSUs, fair value is computed by multiplying the total number of shares subject to the award by the closing price per share of our common stock as reported on the date of grant. The closing trading value of our common stock was $149.91 per share on May 13, 2025. The dollar amounts for the PSUs are calculated in accordance with FASB ASC Topic 718 and assume payment of PSUs at target using a Monte Carlo simulation valuation model to reflect the impact of the TSR modifier, incorporating the following significant assumptions with respect to the May 13, 2025 grant (a) a risk-free interest rate of 4.01%, based on the U.S. constant maturity treasury rates commensurate with the expected term; (b) expected dividend yield of 0.0%; (c) expected volatility of 30.6%, based on the historical trading prices of Middleby with look-back periods commensurate with the expected term; and (d) expected term of 2.63 years.</w:t>
      </w:r>
    </w:p>
    <w:p>
      <w:pPr>
        <w:spacing w:after="0" w:line="142" w:lineRule="exact"/>
        <w:rPr>
          <w:sz w:val="20"/>
          <w:szCs w:val="20"/>
          <w:color w:val="auto"/>
        </w:rPr>
      </w:pPr>
    </w:p>
    <w:p>
      <w:pPr>
        <w:ind w:left="8960"/>
        <w:spacing w:after="0"/>
        <w:tabs>
          <w:tab w:leader="none" w:pos="1106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8" w:lineRule="exact"/>
        <w:rPr>
          <w:sz w:val="20"/>
          <w:szCs w:val="20"/>
          <w:color w:val="auto"/>
        </w:rPr>
      </w:pPr>
    </w:p>
    <w:p>
      <w:pPr>
        <w:jc w:val="both"/>
        <w:ind w:left="300" w:hanging="299"/>
        <w:spacing w:after="0" w:line="250" w:lineRule="auto"/>
        <w:tabs>
          <w:tab w:leader="none" w:pos="3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Represents the PSUs granted on May 13, 2025. Amounts shown in the “threshold” column represent the total number of PSUs that could be earned upon achievement of the performance criteria at the threshold level, including application of a negative 30% TSR modifier and assume continued employment through the applicable vesting dates. Amounts shown in the “target” column represent the number of PSUs that could be earned upon achievement of the performance criteria at the target level and assume continued employment through the applicable vesting dates. Amounts shown in the “maximum” column represent the maximum number of PSUs that could be earned upon achievement of the performance criteria at the maximum level, including application of a positive 30% TSR modifier and continued employment through the applicable vesting dates. Threshold, target and maximum reported numbers in the table above assume potential TSR performance below the 25th percentile for the threshold performance tier, between the 25th percentile and the 75th percentile for the target performance tier, and above the 75th percentile for the maximum performance tier.</w:t>
      </w:r>
    </w:p>
    <w:p>
      <w:pPr>
        <w:spacing w:after="0" w:line="20" w:lineRule="exact"/>
        <w:rPr>
          <w:rFonts w:ascii="Arial" w:cs="Arial" w:eastAsia="Arial" w:hAnsi="Arial"/>
          <w:sz w:val="13"/>
          <w:szCs w:val="13"/>
          <w:color w:val="auto"/>
        </w:rPr>
      </w:pPr>
    </w:p>
    <w:p>
      <w:pPr>
        <w:jc w:val="both"/>
        <w:ind w:left="300" w:hanging="299"/>
        <w:spacing w:after="0" w:line="253" w:lineRule="auto"/>
        <w:tabs>
          <w:tab w:leader="none" w:pos="3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On May 13, 2025, each NEO was granted PSUs that vest based upon Adjusted EPS growth and Return on Invested Capital performance metrics with respect to the performance period commencing on December 29, 2024, and ending on January 1, 2028. Vesting of the PSUs is subject to approval by Compensation Committee following certification of 2027 financial results. The PSUs also feature a TSR mechanism that compares the TSR of the Company to the peer group of the Company as reported in the most recent annual proxy statement. The TSR modifier decreases the number of PSUs that can be earned by 30% for Company TSR performance in the bottom quartile measured against the Company peer group and increases the number of PSUs that can be earned by 30% for Company TSR performance in the top quartile measured against the Company peer group.</w:t>
      </w:r>
    </w:p>
    <w:p>
      <w:pPr>
        <w:spacing w:after="0" w:line="19" w:lineRule="exact"/>
        <w:rPr>
          <w:rFonts w:ascii="Arial" w:cs="Arial" w:eastAsia="Arial" w:hAnsi="Arial"/>
          <w:sz w:val="13"/>
          <w:szCs w:val="13"/>
          <w:color w:val="auto"/>
        </w:rPr>
      </w:pPr>
    </w:p>
    <w:p>
      <w:pPr>
        <w:ind w:left="300" w:hanging="299"/>
        <w:spacing w:after="0" w:line="285" w:lineRule="auto"/>
        <w:tabs>
          <w:tab w:leader="none" w:pos="3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On May 13, 2025, each NEO was granted time-based RSUs that vest one-third on each of March 1, 2026, March 1, 2027, and March 1, 2028, subject to continued employment on each such vesting date.</w:t>
      </w:r>
    </w:p>
    <w:p>
      <w:pPr>
        <w:spacing w:after="0" w:line="12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46" w:name="page47"/>
    <w:bookmarkEnd w:id="46"/>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5"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Outstanding Equity Awards at 2025 Fiscal Year End</w:t>
      </w:r>
    </w:p>
    <w:p>
      <w:pPr>
        <w:spacing w:after="0" w:line="187"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following table sets forth certain information concerning outstanding stock awards held by each of our Named Executive Officers under the LTIP at the end of fiscal year 2025.</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40" w:type="dxa"/>
            <w:vAlign w:val="bottom"/>
          </w:tcPr>
          <w:p>
            <w:pPr>
              <w:spacing w:after="0"/>
              <w:rPr>
                <w:sz w:val="16"/>
                <w:szCs w:val="16"/>
                <w:color w:val="auto"/>
              </w:rPr>
            </w:pPr>
          </w:p>
        </w:tc>
        <w:tc>
          <w:tcPr>
            <w:tcW w:w="1000" w:type="dxa"/>
            <w:vAlign w:val="bottom"/>
            <w:tcBorders>
              <w:bottom w:val="single" w:sz="8" w:color="002F4D"/>
            </w:tcBorders>
          </w:tcPr>
          <w:p>
            <w:pPr>
              <w:spacing w:after="0"/>
              <w:rPr>
                <w:sz w:val="16"/>
                <w:szCs w:val="16"/>
                <w:color w:val="auto"/>
              </w:rPr>
            </w:pPr>
          </w:p>
        </w:tc>
        <w:tc>
          <w:tcPr>
            <w:tcW w:w="2280" w:type="dxa"/>
            <w:vAlign w:val="bottom"/>
            <w:tcBorders>
              <w:bottom w:val="single" w:sz="8" w:color="002F4D"/>
            </w:tcBorders>
            <w:gridSpan w:val="2"/>
          </w:tcPr>
          <w:p>
            <w:pPr>
              <w:jc w:val="right"/>
              <w:ind w:right="204"/>
              <w:spacing w:after="0"/>
              <w:rPr>
                <w:sz w:val="20"/>
                <w:szCs w:val="20"/>
                <w:color w:val="auto"/>
              </w:rPr>
            </w:pPr>
            <w:r>
              <w:rPr>
                <w:rFonts w:ascii="Arial" w:cs="Arial" w:eastAsia="Arial" w:hAnsi="Arial"/>
                <w:sz w:val="15"/>
                <w:szCs w:val="15"/>
                <w:b w:val="1"/>
                <w:bCs w:val="1"/>
                <w:color w:val="00304D"/>
              </w:rPr>
              <w:t>Option Awards</w:t>
            </w:r>
          </w:p>
        </w:tc>
        <w:tc>
          <w:tcPr>
            <w:tcW w:w="820" w:type="dxa"/>
            <w:vAlign w:val="bottom"/>
            <w:tcBorders>
              <w:bottom w:val="single" w:sz="8" w:color="002F4D"/>
            </w:tcBorders>
          </w:tcPr>
          <w:p>
            <w:pPr>
              <w:spacing w:after="0"/>
              <w:rPr>
                <w:sz w:val="16"/>
                <w:szCs w:val="16"/>
                <w:color w:val="auto"/>
              </w:rPr>
            </w:pPr>
          </w:p>
        </w:tc>
        <w:tc>
          <w:tcPr>
            <w:tcW w:w="820" w:type="dxa"/>
            <w:vAlign w:val="bottom"/>
            <w:tcBorders>
              <w:bottom w:val="single" w:sz="8" w:color="002F4D"/>
            </w:tcBorders>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Borders>
              <w:bottom w:val="single" w:sz="8" w:color="002F4D"/>
            </w:tcBorders>
          </w:tcPr>
          <w:p>
            <w:pPr>
              <w:spacing w:after="0"/>
              <w:rPr>
                <w:sz w:val="16"/>
                <w:szCs w:val="16"/>
                <w:color w:val="auto"/>
              </w:rPr>
            </w:pPr>
          </w:p>
        </w:tc>
        <w:tc>
          <w:tcPr>
            <w:tcW w:w="2160" w:type="dxa"/>
            <w:vAlign w:val="bottom"/>
            <w:tcBorders>
              <w:bottom w:val="single" w:sz="8" w:color="002F4D"/>
            </w:tcBorders>
            <w:gridSpan w:val="2"/>
          </w:tcPr>
          <w:p>
            <w:pPr>
              <w:jc w:val="right"/>
              <w:ind w:right="585"/>
              <w:spacing w:after="0"/>
              <w:rPr>
                <w:sz w:val="20"/>
                <w:szCs w:val="20"/>
                <w:color w:val="auto"/>
              </w:rPr>
            </w:pPr>
            <w:r>
              <w:rPr>
                <w:rFonts w:ascii="Arial" w:cs="Arial" w:eastAsia="Arial" w:hAnsi="Arial"/>
                <w:sz w:val="15"/>
                <w:szCs w:val="15"/>
                <w:b w:val="1"/>
                <w:bCs w:val="1"/>
                <w:color w:val="00304D"/>
              </w:rPr>
              <w:t>Stock Awards</w:t>
            </w:r>
          </w:p>
        </w:tc>
        <w:tc>
          <w:tcPr>
            <w:tcW w:w="1040" w:type="dxa"/>
            <w:vAlign w:val="bottom"/>
            <w:tcBorders>
              <w:bottom w:val="single" w:sz="8" w:color="002F4D"/>
            </w:tcBorders>
          </w:tcPr>
          <w:p>
            <w:pPr>
              <w:spacing w:after="0"/>
              <w:rPr>
                <w:sz w:val="16"/>
                <w:szCs w:val="16"/>
                <w:color w:val="auto"/>
              </w:rPr>
            </w:pPr>
          </w:p>
        </w:tc>
      </w:tr>
      <w:tr>
        <w:trPr>
          <w:trHeight w:val="157"/>
        </w:trPr>
        <w:tc>
          <w:tcPr>
            <w:tcW w:w="1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40" w:type="dxa"/>
            <w:vAlign w:val="bottom"/>
          </w:tcPr>
          <w:p>
            <w:pPr>
              <w:jc w:val="right"/>
              <w:spacing w:after="0" w:line="157" w:lineRule="exact"/>
              <w:rPr>
                <w:sz w:val="20"/>
                <w:szCs w:val="20"/>
                <w:color w:val="auto"/>
              </w:rPr>
            </w:pPr>
            <w:r>
              <w:rPr>
                <w:rFonts w:ascii="Arial" w:cs="Arial" w:eastAsia="Arial" w:hAnsi="Arial"/>
                <w:sz w:val="15"/>
                <w:szCs w:val="15"/>
                <w:b w:val="1"/>
                <w:bCs w:val="1"/>
                <w:color w:val="00304D"/>
              </w:rPr>
              <w:t>Equity</w:t>
            </w:r>
          </w:p>
        </w:tc>
      </w:tr>
      <w:tr>
        <w:trPr>
          <w:trHeight w:val="189"/>
        </w:trPr>
        <w:tc>
          <w:tcPr>
            <w:tcW w:w="1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b w:val="1"/>
                <w:bCs w:val="1"/>
                <w:color w:val="00304D"/>
              </w:rPr>
              <w:t>Equity</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00304D"/>
              </w:rPr>
              <w:t>Incentive</w:t>
            </w:r>
          </w:p>
        </w:tc>
      </w:tr>
      <w:tr>
        <w:trPr>
          <w:trHeight w:val="177"/>
        </w:trPr>
        <w:tc>
          <w:tcPr>
            <w:tcW w:w="1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b w:val="1"/>
                <w:bCs w:val="1"/>
                <w:color w:val="00304D"/>
              </w:rPr>
              <w:t>Incentive</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00304D"/>
              </w:rPr>
              <w:t>Plan</w:t>
            </w:r>
          </w:p>
        </w:tc>
      </w:tr>
      <w:tr>
        <w:trPr>
          <w:trHeight w:val="177"/>
        </w:trPr>
        <w:tc>
          <w:tcPr>
            <w:tcW w:w="1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b w:val="1"/>
                <w:bCs w:val="1"/>
                <w:color w:val="00304D"/>
              </w:rPr>
              <w:t>Equity</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b w:val="1"/>
                <w:bCs w:val="1"/>
                <w:color w:val="00304D"/>
              </w:rPr>
              <w:t>Plan</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00304D"/>
              </w:rPr>
              <w:t>Awards:</w:t>
            </w:r>
          </w:p>
        </w:tc>
      </w:tr>
      <w:tr>
        <w:trPr>
          <w:trHeight w:val="177"/>
        </w:trPr>
        <w:tc>
          <w:tcPr>
            <w:tcW w:w="1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b w:val="1"/>
                <w:bCs w:val="1"/>
                <w:color w:val="00304D"/>
              </w:rPr>
              <w:t>Incentive</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b w:val="1"/>
                <w:bCs w:val="1"/>
                <w:color w:val="00304D"/>
              </w:rPr>
              <w:t>Awards:</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00304D"/>
              </w:rPr>
              <w:t>Market or</w:t>
            </w:r>
          </w:p>
        </w:tc>
      </w:tr>
      <w:tr>
        <w:trPr>
          <w:trHeight w:val="177"/>
        </w:trPr>
        <w:tc>
          <w:tcPr>
            <w:tcW w:w="1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b w:val="1"/>
                <w:bCs w:val="1"/>
                <w:color w:val="00304D"/>
              </w:rPr>
              <w:t>Plan</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00304D"/>
              </w:rPr>
              <w:t>Market</w:t>
            </w:r>
          </w:p>
        </w:tc>
        <w:tc>
          <w:tcPr>
            <w:tcW w:w="1220" w:type="dxa"/>
            <w:vAlign w:val="bottom"/>
          </w:tcPr>
          <w:p>
            <w:pPr>
              <w:jc w:val="right"/>
              <w:ind w:right="185"/>
              <w:spacing w:after="0"/>
              <w:rPr>
                <w:sz w:val="20"/>
                <w:szCs w:val="20"/>
                <w:color w:val="auto"/>
              </w:rPr>
            </w:pPr>
            <w:r>
              <w:rPr>
                <w:rFonts w:ascii="Arial" w:cs="Arial" w:eastAsia="Arial" w:hAnsi="Arial"/>
                <w:sz w:val="15"/>
                <w:szCs w:val="15"/>
                <w:b w:val="1"/>
                <w:bCs w:val="1"/>
                <w:color w:val="00304D"/>
              </w:rPr>
              <w:t>Number of</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00304D"/>
              </w:rPr>
              <w:t>Payout Value</w:t>
            </w:r>
          </w:p>
        </w:tc>
      </w:tr>
      <w:tr>
        <w:trPr>
          <w:trHeight w:val="177"/>
        </w:trPr>
        <w:tc>
          <w:tcPr>
            <w:tcW w:w="1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b w:val="1"/>
                <w:bCs w:val="1"/>
                <w:color w:val="00304D"/>
              </w:rPr>
              <w:t>Awards:</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00304D"/>
              </w:rPr>
              <w:t>Value of</w:t>
            </w:r>
          </w:p>
        </w:tc>
        <w:tc>
          <w:tcPr>
            <w:tcW w:w="1220" w:type="dxa"/>
            <w:vAlign w:val="bottom"/>
          </w:tcPr>
          <w:p>
            <w:pPr>
              <w:jc w:val="right"/>
              <w:ind w:right="185"/>
              <w:spacing w:after="0"/>
              <w:rPr>
                <w:sz w:val="20"/>
                <w:szCs w:val="20"/>
                <w:color w:val="auto"/>
              </w:rPr>
            </w:pPr>
            <w:r>
              <w:rPr>
                <w:rFonts w:ascii="Arial" w:cs="Arial" w:eastAsia="Arial" w:hAnsi="Arial"/>
                <w:sz w:val="15"/>
                <w:szCs w:val="15"/>
                <w:b w:val="1"/>
                <w:bCs w:val="1"/>
                <w:color w:val="00304D"/>
              </w:rPr>
              <w:t>Unearned</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00304D"/>
              </w:rPr>
              <w:t>of Unearned</w:t>
            </w:r>
          </w:p>
        </w:tc>
      </w:tr>
      <w:tr>
        <w:trPr>
          <w:trHeight w:val="177"/>
        </w:trPr>
        <w:tc>
          <w:tcPr>
            <w:tcW w:w="1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b w:val="1"/>
                <w:bCs w:val="1"/>
                <w:color w:val="00304D"/>
              </w:rPr>
              <w:t>Number of</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ind w:right="266"/>
              <w:spacing w:after="0"/>
              <w:rPr>
                <w:sz w:val="20"/>
                <w:szCs w:val="20"/>
                <w:color w:val="auto"/>
              </w:rPr>
            </w:pPr>
            <w:r>
              <w:rPr>
                <w:rFonts w:ascii="Arial" w:cs="Arial" w:eastAsia="Arial" w:hAnsi="Arial"/>
                <w:sz w:val="15"/>
                <w:szCs w:val="15"/>
                <w:b w:val="1"/>
                <w:bCs w:val="1"/>
                <w:color w:val="00304D"/>
              </w:rPr>
              <w:t>Number of</w:t>
            </w: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00304D"/>
              </w:rPr>
              <w:t>Shares or</w:t>
            </w:r>
          </w:p>
        </w:tc>
        <w:tc>
          <w:tcPr>
            <w:tcW w:w="1220" w:type="dxa"/>
            <w:vAlign w:val="bottom"/>
          </w:tcPr>
          <w:p>
            <w:pPr>
              <w:jc w:val="right"/>
              <w:ind w:right="185"/>
              <w:spacing w:after="0"/>
              <w:rPr>
                <w:sz w:val="20"/>
                <w:szCs w:val="20"/>
                <w:color w:val="auto"/>
              </w:rPr>
            </w:pPr>
            <w:r>
              <w:rPr>
                <w:rFonts w:ascii="Arial" w:cs="Arial" w:eastAsia="Arial" w:hAnsi="Arial"/>
                <w:sz w:val="15"/>
                <w:szCs w:val="15"/>
                <w:b w:val="1"/>
                <w:bCs w:val="1"/>
                <w:color w:val="00304D"/>
              </w:rPr>
              <w:t>Shares,</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00304D"/>
              </w:rPr>
              <w:t>Shares,</w:t>
            </w:r>
          </w:p>
        </w:tc>
      </w:tr>
      <w:tr>
        <w:trPr>
          <w:trHeight w:val="177"/>
        </w:trPr>
        <w:tc>
          <w:tcPr>
            <w:tcW w:w="17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b w:val="1"/>
                <w:bCs w:val="1"/>
                <w:color w:val="00304D"/>
              </w:rPr>
              <w:t>Number of</w:t>
            </w:r>
          </w:p>
        </w:tc>
        <w:tc>
          <w:tcPr>
            <w:tcW w:w="1200" w:type="dxa"/>
            <w:vAlign w:val="bottom"/>
          </w:tcPr>
          <w:p>
            <w:pPr>
              <w:jc w:val="right"/>
              <w:ind w:right="4"/>
              <w:spacing w:after="0"/>
              <w:rPr>
                <w:sz w:val="20"/>
                <w:szCs w:val="20"/>
                <w:color w:val="auto"/>
              </w:rPr>
            </w:pPr>
            <w:r>
              <w:rPr>
                <w:rFonts w:ascii="Arial" w:cs="Arial" w:eastAsia="Arial" w:hAnsi="Arial"/>
                <w:sz w:val="15"/>
                <w:szCs w:val="15"/>
                <w:b w:val="1"/>
                <w:bCs w:val="1"/>
                <w:color w:val="00304D"/>
              </w:rPr>
              <w:t>Number of</w:t>
            </w:r>
          </w:p>
        </w:tc>
        <w:tc>
          <w:tcPr>
            <w:tcW w:w="1080" w:type="dxa"/>
            <w:vAlign w:val="bottom"/>
          </w:tcPr>
          <w:p>
            <w:pPr>
              <w:jc w:val="right"/>
              <w:ind w:right="24"/>
              <w:spacing w:after="0"/>
              <w:rPr>
                <w:sz w:val="20"/>
                <w:szCs w:val="20"/>
                <w:color w:val="auto"/>
              </w:rPr>
            </w:pPr>
            <w:r>
              <w:rPr>
                <w:rFonts w:ascii="Arial" w:cs="Arial" w:eastAsia="Arial" w:hAnsi="Arial"/>
                <w:sz w:val="15"/>
                <w:szCs w:val="15"/>
                <w:b w:val="1"/>
                <w:bCs w:val="1"/>
                <w:color w:val="00304D"/>
              </w:rPr>
              <w:t>Securities</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ind w:right="266"/>
              <w:spacing w:after="0"/>
              <w:rPr>
                <w:sz w:val="20"/>
                <w:szCs w:val="20"/>
                <w:color w:val="auto"/>
              </w:rPr>
            </w:pPr>
            <w:r>
              <w:rPr>
                <w:rFonts w:ascii="Arial" w:cs="Arial" w:eastAsia="Arial" w:hAnsi="Arial"/>
                <w:sz w:val="15"/>
                <w:szCs w:val="15"/>
                <w:b w:val="1"/>
                <w:bCs w:val="1"/>
                <w:color w:val="00304D"/>
              </w:rPr>
              <w:t>Shares or</w:t>
            </w: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00304D"/>
              </w:rPr>
              <w:t>Units of</w:t>
            </w:r>
          </w:p>
        </w:tc>
        <w:tc>
          <w:tcPr>
            <w:tcW w:w="1220" w:type="dxa"/>
            <w:vAlign w:val="bottom"/>
          </w:tcPr>
          <w:p>
            <w:pPr>
              <w:jc w:val="right"/>
              <w:ind w:right="185"/>
              <w:spacing w:after="0"/>
              <w:rPr>
                <w:sz w:val="20"/>
                <w:szCs w:val="20"/>
                <w:color w:val="auto"/>
              </w:rPr>
            </w:pPr>
            <w:r>
              <w:rPr>
                <w:rFonts w:ascii="Arial" w:cs="Arial" w:eastAsia="Arial" w:hAnsi="Arial"/>
                <w:sz w:val="15"/>
                <w:szCs w:val="15"/>
                <w:b w:val="1"/>
                <w:bCs w:val="1"/>
                <w:color w:val="00304D"/>
              </w:rPr>
              <w:t>Units</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00304D"/>
              </w:rPr>
              <w:t>Units</w:t>
            </w:r>
          </w:p>
        </w:tc>
      </w:tr>
      <w:tr>
        <w:trPr>
          <w:trHeight w:val="177"/>
        </w:trPr>
        <w:tc>
          <w:tcPr>
            <w:tcW w:w="17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b w:val="1"/>
                <w:bCs w:val="1"/>
                <w:color w:val="00304D"/>
              </w:rPr>
              <w:t>Securities</w:t>
            </w:r>
          </w:p>
        </w:tc>
        <w:tc>
          <w:tcPr>
            <w:tcW w:w="1200" w:type="dxa"/>
            <w:vAlign w:val="bottom"/>
          </w:tcPr>
          <w:p>
            <w:pPr>
              <w:jc w:val="right"/>
              <w:ind w:right="4"/>
              <w:spacing w:after="0"/>
              <w:rPr>
                <w:sz w:val="20"/>
                <w:szCs w:val="20"/>
                <w:color w:val="auto"/>
              </w:rPr>
            </w:pPr>
            <w:r>
              <w:rPr>
                <w:rFonts w:ascii="Arial" w:cs="Arial" w:eastAsia="Arial" w:hAnsi="Arial"/>
                <w:sz w:val="15"/>
                <w:szCs w:val="15"/>
                <w:b w:val="1"/>
                <w:bCs w:val="1"/>
                <w:color w:val="00304D"/>
              </w:rPr>
              <w:t>Securities</w:t>
            </w:r>
          </w:p>
        </w:tc>
        <w:tc>
          <w:tcPr>
            <w:tcW w:w="1080" w:type="dxa"/>
            <w:vAlign w:val="bottom"/>
          </w:tcPr>
          <w:p>
            <w:pPr>
              <w:jc w:val="right"/>
              <w:ind w:right="24"/>
              <w:spacing w:after="0"/>
              <w:rPr>
                <w:sz w:val="20"/>
                <w:szCs w:val="20"/>
                <w:color w:val="auto"/>
              </w:rPr>
            </w:pPr>
            <w:r>
              <w:rPr>
                <w:rFonts w:ascii="Arial" w:cs="Arial" w:eastAsia="Arial" w:hAnsi="Arial"/>
                <w:sz w:val="15"/>
                <w:szCs w:val="15"/>
                <w:b w:val="1"/>
                <w:bCs w:val="1"/>
                <w:color w:val="00304D"/>
              </w:rPr>
              <w:t>Underlying</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ind w:right="266"/>
              <w:spacing w:after="0"/>
              <w:rPr>
                <w:sz w:val="20"/>
                <w:szCs w:val="20"/>
                <w:color w:val="auto"/>
              </w:rPr>
            </w:pPr>
            <w:r>
              <w:rPr>
                <w:rFonts w:ascii="Arial" w:cs="Arial" w:eastAsia="Arial" w:hAnsi="Arial"/>
                <w:sz w:val="15"/>
                <w:szCs w:val="15"/>
                <w:b w:val="1"/>
                <w:bCs w:val="1"/>
                <w:color w:val="00304D"/>
              </w:rPr>
              <w:t>Units of</w:t>
            </w: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00304D"/>
              </w:rPr>
              <w:t>Stock</w:t>
            </w:r>
          </w:p>
        </w:tc>
        <w:tc>
          <w:tcPr>
            <w:tcW w:w="1220" w:type="dxa"/>
            <w:vAlign w:val="bottom"/>
          </w:tcPr>
          <w:p>
            <w:pPr>
              <w:jc w:val="right"/>
              <w:ind w:right="185"/>
              <w:spacing w:after="0"/>
              <w:rPr>
                <w:sz w:val="20"/>
                <w:szCs w:val="20"/>
                <w:color w:val="auto"/>
              </w:rPr>
            </w:pPr>
            <w:r>
              <w:rPr>
                <w:rFonts w:ascii="Arial" w:cs="Arial" w:eastAsia="Arial" w:hAnsi="Arial"/>
                <w:sz w:val="15"/>
                <w:szCs w:val="15"/>
                <w:b w:val="1"/>
                <w:bCs w:val="1"/>
                <w:color w:val="00304D"/>
              </w:rPr>
              <w:t>or Other</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00304D"/>
              </w:rPr>
              <w:t>or Other</w:t>
            </w:r>
          </w:p>
        </w:tc>
      </w:tr>
      <w:tr>
        <w:trPr>
          <w:trHeight w:val="177"/>
        </w:trPr>
        <w:tc>
          <w:tcPr>
            <w:tcW w:w="17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b w:val="1"/>
                <w:bCs w:val="1"/>
                <w:color w:val="00304D"/>
              </w:rPr>
              <w:t>Underlying</w:t>
            </w:r>
          </w:p>
        </w:tc>
        <w:tc>
          <w:tcPr>
            <w:tcW w:w="1200" w:type="dxa"/>
            <w:vAlign w:val="bottom"/>
          </w:tcPr>
          <w:p>
            <w:pPr>
              <w:jc w:val="right"/>
              <w:ind w:right="64"/>
              <w:spacing w:after="0"/>
              <w:rPr>
                <w:sz w:val="20"/>
                <w:szCs w:val="20"/>
                <w:color w:val="auto"/>
              </w:rPr>
            </w:pPr>
            <w:r>
              <w:rPr>
                <w:rFonts w:ascii="Arial" w:cs="Arial" w:eastAsia="Arial" w:hAnsi="Arial"/>
                <w:sz w:val="15"/>
                <w:szCs w:val="15"/>
                <w:b w:val="1"/>
                <w:bCs w:val="1"/>
                <w:color w:val="00304D"/>
              </w:rPr>
              <w:t>Underlying</w:t>
            </w:r>
          </w:p>
        </w:tc>
        <w:tc>
          <w:tcPr>
            <w:tcW w:w="1080" w:type="dxa"/>
            <w:vAlign w:val="bottom"/>
          </w:tcPr>
          <w:p>
            <w:pPr>
              <w:jc w:val="right"/>
              <w:ind w:right="24"/>
              <w:spacing w:after="0"/>
              <w:rPr>
                <w:sz w:val="20"/>
                <w:szCs w:val="20"/>
                <w:color w:val="auto"/>
              </w:rPr>
            </w:pPr>
            <w:r>
              <w:rPr>
                <w:rFonts w:ascii="Arial" w:cs="Arial" w:eastAsia="Arial" w:hAnsi="Arial"/>
                <w:sz w:val="15"/>
                <w:szCs w:val="15"/>
                <w:b w:val="1"/>
                <w:bCs w:val="1"/>
                <w:color w:val="00304D"/>
              </w:rPr>
              <w:t>Unexercised</w:t>
            </w:r>
          </w:p>
        </w:tc>
        <w:tc>
          <w:tcPr>
            <w:tcW w:w="820" w:type="dxa"/>
            <w:vAlign w:val="bottom"/>
          </w:tcPr>
          <w:p>
            <w:pPr>
              <w:jc w:val="right"/>
              <w:ind w:right="4"/>
              <w:spacing w:after="0"/>
              <w:rPr>
                <w:sz w:val="20"/>
                <w:szCs w:val="20"/>
                <w:color w:val="auto"/>
              </w:rPr>
            </w:pPr>
            <w:r>
              <w:rPr>
                <w:rFonts w:ascii="Arial" w:cs="Arial" w:eastAsia="Arial" w:hAnsi="Arial"/>
                <w:sz w:val="15"/>
                <w:szCs w:val="15"/>
                <w:b w:val="1"/>
                <w:bCs w:val="1"/>
                <w:color w:val="00304D"/>
              </w:rPr>
              <w:t>Option</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ind w:right="266"/>
              <w:spacing w:after="0"/>
              <w:rPr>
                <w:sz w:val="20"/>
                <w:szCs w:val="20"/>
                <w:color w:val="auto"/>
              </w:rPr>
            </w:pPr>
            <w:r>
              <w:rPr>
                <w:rFonts w:ascii="Arial" w:cs="Arial" w:eastAsia="Arial" w:hAnsi="Arial"/>
                <w:sz w:val="15"/>
                <w:szCs w:val="15"/>
                <w:b w:val="1"/>
                <w:bCs w:val="1"/>
                <w:color w:val="00304D"/>
              </w:rPr>
              <w:t>Stock</w:t>
            </w: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00304D"/>
              </w:rPr>
              <w:t>That Have</w:t>
            </w:r>
          </w:p>
        </w:tc>
        <w:tc>
          <w:tcPr>
            <w:tcW w:w="1220" w:type="dxa"/>
            <w:vAlign w:val="bottom"/>
          </w:tcPr>
          <w:p>
            <w:pPr>
              <w:jc w:val="right"/>
              <w:ind w:right="185"/>
              <w:spacing w:after="0"/>
              <w:rPr>
                <w:sz w:val="20"/>
                <w:szCs w:val="20"/>
                <w:color w:val="auto"/>
              </w:rPr>
            </w:pPr>
            <w:r>
              <w:rPr>
                <w:rFonts w:ascii="Arial" w:cs="Arial" w:eastAsia="Arial" w:hAnsi="Arial"/>
                <w:sz w:val="15"/>
                <w:szCs w:val="15"/>
                <w:b w:val="1"/>
                <w:bCs w:val="1"/>
                <w:color w:val="00304D"/>
              </w:rPr>
              <w:t>Rights That</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00304D"/>
              </w:rPr>
              <w:t>Rights That</w:t>
            </w:r>
          </w:p>
        </w:tc>
      </w:tr>
      <w:tr>
        <w:trPr>
          <w:trHeight w:val="177"/>
        </w:trPr>
        <w:tc>
          <w:tcPr>
            <w:tcW w:w="17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b w:val="1"/>
                <w:bCs w:val="1"/>
                <w:color w:val="00304D"/>
              </w:rPr>
              <w:t>Unexercised</w:t>
            </w:r>
          </w:p>
        </w:tc>
        <w:tc>
          <w:tcPr>
            <w:tcW w:w="1200" w:type="dxa"/>
            <w:vAlign w:val="bottom"/>
          </w:tcPr>
          <w:p>
            <w:pPr>
              <w:jc w:val="right"/>
              <w:ind w:right="4"/>
              <w:spacing w:after="0"/>
              <w:rPr>
                <w:sz w:val="20"/>
                <w:szCs w:val="20"/>
                <w:color w:val="auto"/>
              </w:rPr>
            </w:pPr>
            <w:r>
              <w:rPr>
                <w:rFonts w:ascii="Arial" w:cs="Arial" w:eastAsia="Arial" w:hAnsi="Arial"/>
                <w:sz w:val="15"/>
                <w:szCs w:val="15"/>
                <w:b w:val="1"/>
                <w:bCs w:val="1"/>
                <w:color w:val="00304D"/>
              </w:rPr>
              <w:t>Unexercised</w:t>
            </w:r>
          </w:p>
        </w:tc>
        <w:tc>
          <w:tcPr>
            <w:tcW w:w="1080" w:type="dxa"/>
            <w:vAlign w:val="bottom"/>
          </w:tcPr>
          <w:p>
            <w:pPr>
              <w:jc w:val="right"/>
              <w:ind w:right="64"/>
              <w:spacing w:after="0"/>
              <w:rPr>
                <w:sz w:val="20"/>
                <w:szCs w:val="20"/>
                <w:color w:val="auto"/>
              </w:rPr>
            </w:pPr>
            <w:r>
              <w:rPr>
                <w:rFonts w:ascii="Arial" w:cs="Arial" w:eastAsia="Arial" w:hAnsi="Arial"/>
                <w:sz w:val="15"/>
                <w:szCs w:val="15"/>
                <w:b w:val="1"/>
                <w:bCs w:val="1"/>
                <w:color w:val="00304D"/>
              </w:rPr>
              <w:t>Unearned</w:t>
            </w:r>
          </w:p>
        </w:tc>
        <w:tc>
          <w:tcPr>
            <w:tcW w:w="820" w:type="dxa"/>
            <w:vAlign w:val="bottom"/>
          </w:tcPr>
          <w:p>
            <w:pPr>
              <w:jc w:val="right"/>
              <w:ind w:right="4"/>
              <w:spacing w:after="0"/>
              <w:rPr>
                <w:sz w:val="20"/>
                <w:szCs w:val="20"/>
                <w:color w:val="auto"/>
              </w:rPr>
            </w:pPr>
            <w:r>
              <w:rPr>
                <w:rFonts w:ascii="Arial" w:cs="Arial" w:eastAsia="Arial" w:hAnsi="Arial"/>
                <w:sz w:val="15"/>
                <w:szCs w:val="15"/>
                <w:b w:val="1"/>
                <w:bCs w:val="1"/>
                <w:color w:val="00304D"/>
              </w:rPr>
              <w:t>Exercise</w:t>
            </w:r>
          </w:p>
        </w:tc>
        <w:tc>
          <w:tcPr>
            <w:tcW w:w="98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00304D"/>
              </w:rPr>
              <w:t>Option</w:t>
            </w:r>
          </w:p>
        </w:tc>
        <w:tc>
          <w:tcPr>
            <w:tcW w:w="1220" w:type="dxa"/>
            <w:vAlign w:val="bottom"/>
          </w:tcPr>
          <w:p>
            <w:pPr>
              <w:jc w:val="right"/>
              <w:ind w:right="266"/>
              <w:spacing w:after="0"/>
              <w:rPr>
                <w:sz w:val="20"/>
                <w:szCs w:val="20"/>
                <w:color w:val="auto"/>
              </w:rPr>
            </w:pPr>
            <w:r>
              <w:rPr>
                <w:rFonts w:ascii="Arial" w:cs="Arial" w:eastAsia="Arial" w:hAnsi="Arial"/>
                <w:sz w:val="15"/>
                <w:szCs w:val="15"/>
                <w:b w:val="1"/>
                <w:bCs w:val="1"/>
                <w:color w:val="00304D"/>
              </w:rPr>
              <w:t>That Have</w:t>
            </w: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00304D"/>
              </w:rPr>
              <w:t>Not</w:t>
            </w:r>
          </w:p>
        </w:tc>
        <w:tc>
          <w:tcPr>
            <w:tcW w:w="1220" w:type="dxa"/>
            <w:vAlign w:val="bottom"/>
          </w:tcPr>
          <w:p>
            <w:pPr>
              <w:jc w:val="right"/>
              <w:ind w:right="185"/>
              <w:spacing w:after="0"/>
              <w:rPr>
                <w:sz w:val="20"/>
                <w:szCs w:val="20"/>
                <w:color w:val="auto"/>
              </w:rPr>
            </w:pPr>
            <w:r>
              <w:rPr>
                <w:rFonts w:ascii="Arial" w:cs="Arial" w:eastAsia="Arial" w:hAnsi="Arial"/>
                <w:sz w:val="15"/>
                <w:szCs w:val="15"/>
                <w:b w:val="1"/>
                <w:bCs w:val="1"/>
                <w:color w:val="00304D"/>
              </w:rPr>
              <w:t>Have Not</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00304D"/>
              </w:rPr>
              <w:t>Have Not</w:t>
            </w:r>
          </w:p>
        </w:tc>
      </w:tr>
      <w:tr>
        <w:trPr>
          <w:trHeight w:val="177"/>
        </w:trPr>
        <w:tc>
          <w:tcPr>
            <w:tcW w:w="17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b w:val="1"/>
                <w:bCs w:val="1"/>
                <w:color w:val="00304D"/>
              </w:rPr>
              <w:t>Options(#)</w:t>
            </w:r>
          </w:p>
        </w:tc>
        <w:tc>
          <w:tcPr>
            <w:tcW w:w="1200" w:type="dxa"/>
            <w:vAlign w:val="bottom"/>
          </w:tcPr>
          <w:p>
            <w:pPr>
              <w:jc w:val="right"/>
              <w:ind w:right="4"/>
              <w:spacing w:after="0"/>
              <w:rPr>
                <w:sz w:val="20"/>
                <w:szCs w:val="20"/>
                <w:color w:val="auto"/>
              </w:rPr>
            </w:pPr>
            <w:r>
              <w:rPr>
                <w:rFonts w:ascii="Arial" w:cs="Arial" w:eastAsia="Arial" w:hAnsi="Arial"/>
                <w:sz w:val="15"/>
                <w:szCs w:val="15"/>
                <w:b w:val="1"/>
                <w:bCs w:val="1"/>
                <w:color w:val="00304D"/>
              </w:rPr>
              <w:t>Options(#)</w:t>
            </w:r>
          </w:p>
        </w:tc>
        <w:tc>
          <w:tcPr>
            <w:tcW w:w="1080" w:type="dxa"/>
            <w:vAlign w:val="bottom"/>
          </w:tcPr>
          <w:p>
            <w:pPr>
              <w:jc w:val="right"/>
              <w:ind w:right="24"/>
              <w:spacing w:after="0"/>
              <w:rPr>
                <w:sz w:val="20"/>
                <w:szCs w:val="20"/>
                <w:color w:val="auto"/>
              </w:rPr>
            </w:pPr>
            <w:r>
              <w:rPr>
                <w:rFonts w:ascii="Arial" w:cs="Arial" w:eastAsia="Arial" w:hAnsi="Arial"/>
                <w:sz w:val="15"/>
                <w:szCs w:val="15"/>
                <w:b w:val="1"/>
                <w:bCs w:val="1"/>
                <w:color w:val="00304D"/>
              </w:rPr>
              <w:t>Options</w:t>
            </w:r>
          </w:p>
        </w:tc>
        <w:tc>
          <w:tcPr>
            <w:tcW w:w="820" w:type="dxa"/>
            <w:vAlign w:val="bottom"/>
          </w:tcPr>
          <w:p>
            <w:pPr>
              <w:jc w:val="right"/>
              <w:ind w:right="44"/>
              <w:spacing w:after="0"/>
              <w:rPr>
                <w:sz w:val="20"/>
                <w:szCs w:val="20"/>
                <w:color w:val="auto"/>
              </w:rPr>
            </w:pPr>
            <w:r>
              <w:rPr>
                <w:rFonts w:ascii="Arial" w:cs="Arial" w:eastAsia="Arial" w:hAnsi="Arial"/>
                <w:sz w:val="15"/>
                <w:szCs w:val="15"/>
                <w:b w:val="1"/>
                <w:bCs w:val="1"/>
                <w:color w:val="00304D"/>
              </w:rPr>
              <w:t>Price</w:t>
            </w:r>
          </w:p>
        </w:tc>
        <w:tc>
          <w:tcPr>
            <w:tcW w:w="98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00304D"/>
              </w:rPr>
              <w:t>Expiration</w:t>
            </w:r>
          </w:p>
        </w:tc>
        <w:tc>
          <w:tcPr>
            <w:tcW w:w="1220" w:type="dxa"/>
            <w:vAlign w:val="bottom"/>
          </w:tcPr>
          <w:p>
            <w:pPr>
              <w:jc w:val="right"/>
              <w:ind w:right="266"/>
              <w:spacing w:after="0"/>
              <w:rPr>
                <w:sz w:val="20"/>
                <w:szCs w:val="20"/>
                <w:color w:val="auto"/>
              </w:rPr>
            </w:pPr>
            <w:r>
              <w:rPr>
                <w:rFonts w:ascii="Arial" w:cs="Arial" w:eastAsia="Arial" w:hAnsi="Arial"/>
                <w:sz w:val="15"/>
                <w:szCs w:val="15"/>
                <w:b w:val="1"/>
                <w:bCs w:val="1"/>
                <w:color w:val="00304D"/>
              </w:rPr>
              <w:t>Not Vested</w:t>
            </w: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00304D"/>
              </w:rPr>
              <w:t>Vested</w:t>
            </w:r>
          </w:p>
        </w:tc>
        <w:tc>
          <w:tcPr>
            <w:tcW w:w="1220" w:type="dxa"/>
            <w:vAlign w:val="bottom"/>
          </w:tcPr>
          <w:p>
            <w:pPr>
              <w:jc w:val="right"/>
              <w:ind w:right="185"/>
              <w:spacing w:after="0"/>
              <w:rPr>
                <w:sz w:val="20"/>
                <w:szCs w:val="20"/>
                <w:color w:val="auto"/>
              </w:rPr>
            </w:pPr>
            <w:r>
              <w:rPr>
                <w:rFonts w:ascii="Arial" w:cs="Arial" w:eastAsia="Arial" w:hAnsi="Arial"/>
                <w:sz w:val="15"/>
                <w:szCs w:val="15"/>
                <w:b w:val="1"/>
                <w:bCs w:val="1"/>
                <w:color w:val="00304D"/>
              </w:rPr>
              <w:t>Vested</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00304D"/>
              </w:rPr>
              <w:t>Vested</w:t>
            </w:r>
          </w:p>
        </w:tc>
      </w:tr>
      <w:tr>
        <w:trPr>
          <w:trHeight w:val="215"/>
        </w:trPr>
        <w:tc>
          <w:tcPr>
            <w:tcW w:w="174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00304D"/>
              </w:rPr>
              <w:t>Name</w:t>
            </w:r>
          </w:p>
        </w:tc>
        <w:tc>
          <w:tcPr>
            <w:tcW w:w="1000" w:type="dxa"/>
            <w:vAlign w:val="bottom"/>
            <w:tcBorders>
              <w:bottom w:val="single" w:sz="8" w:color="002F4D"/>
            </w:tcBorders>
          </w:tcPr>
          <w:p>
            <w:pPr>
              <w:jc w:val="right"/>
              <w:ind w:right="4"/>
              <w:spacing w:after="0"/>
              <w:rPr>
                <w:sz w:val="20"/>
                <w:szCs w:val="20"/>
                <w:color w:val="auto"/>
              </w:rPr>
            </w:pPr>
            <w:r>
              <w:rPr>
                <w:rFonts w:ascii="Arial" w:cs="Arial" w:eastAsia="Arial" w:hAnsi="Arial"/>
                <w:sz w:val="15"/>
                <w:szCs w:val="15"/>
                <w:b w:val="1"/>
                <w:bCs w:val="1"/>
                <w:color w:val="00304D"/>
              </w:rPr>
              <w:t>Exercisable</w:t>
            </w:r>
          </w:p>
        </w:tc>
        <w:tc>
          <w:tcPr>
            <w:tcW w:w="1200" w:type="dxa"/>
            <w:vAlign w:val="bottom"/>
            <w:tcBorders>
              <w:bottom w:val="single" w:sz="8" w:color="002F4D"/>
            </w:tcBorders>
          </w:tcPr>
          <w:p>
            <w:pPr>
              <w:jc w:val="right"/>
              <w:ind w:right="4"/>
              <w:spacing w:after="0"/>
              <w:rPr>
                <w:sz w:val="20"/>
                <w:szCs w:val="20"/>
                <w:color w:val="auto"/>
              </w:rPr>
            </w:pPr>
            <w:r>
              <w:rPr>
                <w:rFonts w:ascii="Arial" w:cs="Arial" w:eastAsia="Arial" w:hAnsi="Arial"/>
                <w:sz w:val="15"/>
                <w:szCs w:val="15"/>
                <w:b w:val="1"/>
                <w:bCs w:val="1"/>
                <w:color w:val="00304D"/>
              </w:rPr>
              <w:t>Unexercisable</w:t>
            </w:r>
          </w:p>
        </w:tc>
        <w:tc>
          <w:tcPr>
            <w:tcW w:w="108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b w:val="1"/>
                <w:bCs w:val="1"/>
                <w:color w:val="00304D"/>
              </w:rPr>
              <w:t>(#)</w:t>
            </w:r>
          </w:p>
        </w:tc>
        <w:tc>
          <w:tcPr>
            <w:tcW w:w="820" w:type="dxa"/>
            <w:vAlign w:val="bottom"/>
            <w:tcBorders>
              <w:bottom w:val="single" w:sz="8" w:color="002F4D"/>
            </w:tcBorders>
          </w:tcPr>
          <w:p>
            <w:pPr>
              <w:jc w:val="right"/>
              <w:ind w:right="4"/>
              <w:spacing w:after="0"/>
              <w:rPr>
                <w:sz w:val="20"/>
                <w:szCs w:val="20"/>
                <w:color w:val="auto"/>
              </w:rPr>
            </w:pPr>
            <w:r>
              <w:rPr>
                <w:rFonts w:ascii="Arial" w:cs="Arial" w:eastAsia="Arial" w:hAnsi="Arial"/>
                <w:sz w:val="15"/>
                <w:szCs w:val="15"/>
                <w:b w:val="1"/>
                <w:bCs w:val="1"/>
                <w:color w:val="00304D"/>
              </w:rPr>
              <w:t>($)</w:t>
            </w:r>
          </w:p>
        </w:tc>
        <w:tc>
          <w:tcPr>
            <w:tcW w:w="980" w:type="dxa"/>
            <w:vAlign w:val="bottom"/>
            <w:tcBorders>
              <w:bottom w:val="single" w:sz="8" w:color="002F4D"/>
            </w:tcBorders>
            <w:gridSpan w:val="2"/>
          </w:tcPr>
          <w:p>
            <w:pPr>
              <w:jc w:val="right"/>
              <w:ind w:right="160"/>
              <w:spacing w:after="0"/>
              <w:rPr>
                <w:sz w:val="20"/>
                <w:szCs w:val="20"/>
                <w:color w:val="auto"/>
              </w:rPr>
            </w:pPr>
            <w:r>
              <w:rPr>
                <w:rFonts w:ascii="Arial" w:cs="Arial" w:eastAsia="Arial" w:hAnsi="Arial"/>
                <w:sz w:val="15"/>
                <w:szCs w:val="15"/>
                <w:b w:val="1"/>
                <w:bCs w:val="1"/>
                <w:color w:val="00304D"/>
              </w:rPr>
              <w:t>Date</w:t>
            </w:r>
          </w:p>
        </w:tc>
        <w:tc>
          <w:tcPr>
            <w:tcW w:w="1220" w:type="dxa"/>
            <w:vAlign w:val="bottom"/>
            <w:tcBorders>
              <w:bottom w:val="single" w:sz="8" w:color="002F4D"/>
            </w:tcBorders>
          </w:tcPr>
          <w:p>
            <w:pPr>
              <w:jc w:val="right"/>
              <w:ind w:right="266"/>
              <w:spacing w:after="0"/>
              <w:rPr>
                <w:sz w:val="20"/>
                <w:szCs w:val="20"/>
                <w:color w:val="auto"/>
              </w:rPr>
            </w:pPr>
            <w:r>
              <w:rPr>
                <w:rFonts w:ascii="Arial" w:cs="Arial" w:eastAsia="Arial" w:hAnsi="Arial"/>
                <w:sz w:val="15"/>
                <w:szCs w:val="15"/>
                <w:b w:val="1"/>
                <w:bCs w:val="1"/>
                <w:color w:val="00304D"/>
              </w:rPr>
              <w:t>(#)</w:t>
            </w:r>
          </w:p>
        </w:tc>
        <w:tc>
          <w:tcPr>
            <w:tcW w:w="940" w:type="dxa"/>
            <w:vAlign w:val="bottom"/>
            <w:tcBorders>
              <w:bottom w:val="single" w:sz="8" w:color="002F4D"/>
            </w:tcBorders>
          </w:tcPr>
          <w:p>
            <w:pPr>
              <w:jc w:val="right"/>
              <w:ind w:right="24"/>
              <w:spacing w:after="0" w:line="214" w:lineRule="exact"/>
              <w:rPr>
                <w:sz w:val="20"/>
                <w:szCs w:val="20"/>
                <w:color w:val="auto"/>
              </w:rPr>
            </w:pPr>
            <w:r>
              <w:rPr>
                <w:rFonts w:ascii="Arial" w:cs="Arial" w:eastAsia="Arial" w:hAnsi="Arial"/>
                <w:sz w:val="15"/>
                <w:szCs w:val="15"/>
                <w:b w:val="1"/>
                <w:bCs w:val="1"/>
                <w:color w:val="00304D"/>
              </w:rPr>
              <w:t>($)</w:t>
            </w:r>
            <w:r>
              <w:rPr>
                <w:rFonts w:ascii="Arial" w:cs="Arial" w:eastAsia="Arial" w:hAnsi="Arial"/>
                <w:sz w:val="24"/>
                <w:szCs w:val="24"/>
                <w:b w:val="1"/>
                <w:bCs w:val="1"/>
                <w:color w:val="00304D"/>
                <w:vertAlign w:val="superscript"/>
              </w:rPr>
              <w:t>(1)</w:t>
            </w:r>
          </w:p>
        </w:tc>
        <w:tc>
          <w:tcPr>
            <w:tcW w:w="1220" w:type="dxa"/>
            <w:vAlign w:val="bottom"/>
            <w:tcBorders>
              <w:bottom w:val="single" w:sz="8" w:color="002F4D"/>
            </w:tcBorders>
          </w:tcPr>
          <w:p>
            <w:pPr>
              <w:jc w:val="right"/>
              <w:ind w:right="185"/>
              <w:spacing w:after="0"/>
              <w:rPr>
                <w:sz w:val="20"/>
                <w:szCs w:val="20"/>
                <w:color w:val="auto"/>
              </w:rPr>
            </w:pPr>
            <w:r>
              <w:rPr>
                <w:rFonts w:ascii="Arial" w:cs="Arial" w:eastAsia="Arial" w:hAnsi="Arial"/>
                <w:sz w:val="15"/>
                <w:szCs w:val="15"/>
                <w:b w:val="1"/>
                <w:bCs w:val="1"/>
                <w:color w:val="00304D"/>
              </w:rPr>
              <w:t>(#)</w:t>
            </w:r>
          </w:p>
        </w:tc>
        <w:tc>
          <w:tcPr>
            <w:tcW w:w="1040" w:type="dxa"/>
            <w:vAlign w:val="bottom"/>
            <w:tcBorders>
              <w:bottom w:val="single" w:sz="8" w:color="002F4D"/>
            </w:tcBorders>
          </w:tcPr>
          <w:p>
            <w:pPr>
              <w:jc w:val="right"/>
              <w:spacing w:after="0" w:line="214" w:lineRule="exact"/>
              <w:rPr>
                <w:sz w:val="20"/>
                <w:szCs w:val="20"/>
                <w:color w:val="auto"/>
              </w:rPr>
            </w:pPr>
            <w:r>
              <w:rPr>
                <w:rFonts w:ascii="Arial" w:cs="Arial" w:eastAsia="Arial" w:hAnsi="Arial"/>
                <w:sz w:val="15"/>
                <w:szCs w:val="15"/>
                <w:b w:val="1"/>
                <w:bCs w:val="1"/>
                <w:color w:val="00304D"/>
              </w:rPr>
              <w:t>($)</w:t>
            </w:r>
            <w:r>
              <w:rPr>
                <w:rFonts w:ascii="Arial" w:cs="Arial" w:eastAsia="Arial" w:hAnsi="Arial"/>
                <w:sz w:val="24"/>
                <w:szCs w:val="24"/>
                <w:b w:val="1"/>
                <w:bCs w:val="1"/>
                <w:color w:val="00304D"/>
                <w:vertAlign w:val="superscript"/>
              </w:rPr>
              <w:t>(2)</w:t>
            </w:r>
          </w:p>
        </w:tc>
      </w:tr>
      <w:tr>
        <w:trPr>
          <w:trHeight w:val="207"/>
        </w:trPr>
        <w:tc>
          <w:tcPr>
            <w:tcW w:w="174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auto"/>
              </w:rPr>
              <w:t>Timothy J. FitzGerald</w:t>
            </w:r>
          </w:p>
        </w:tc>
        <w:tc>
          <w:tcPr>
            <w:tcW w:w="1000" w:type="dxa"/>
            <w:vAlign w:val="bottom"/>
            <w:tcBorders>
              <w:bottom w:val="single" w:sz="8" w:color="002F4D"/>
            </w:tcBorders>
          </w:tcPr>
          <w:p>
            <w:pPr>
              <w:jc w:val="right"/>
              <w:ind w:right="4"/>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002F4D"/>
            </w:tcBorders>
          </w:tcPr>
          <w:p>
            <w:pPr>
              <w:jc w:val="right"/>
              <w:ind w:right="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002F4D"/>
            </w:tcBorders>
          </w:tcPr>
          <w:p>
            <w:pPr>
              <w:jc w:val="right"/>
              <w:ind w:right="4"/>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002F4D"/>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002F4D"/>
            </w:tcBorders>
          </w:tcPr>
          <w:p>
            <w:pPr>
              <w:jc w:val="right"/>
              <w:ind w:right="106"/>
              <w:spacing w:after="0" w:line="207" w:lineRule="exact"/>
              <w:rPr>
                <w:sz w:val="20"/>
                <w:szCs w:val="20"/>
                <w:color w:val="auto"/>
              </w:rPr>
            </w:pPr>
            <w:r>
              <w:rPr>
                <w:rFonts w:ascii="Arial" w:cs="Arial" w:eastAsia="Arial" w:hAnsi="Arial"/>
                <w:sz w:val="15"/>
                <w:szCs w:val="15"/>
                <w:color w:val="auto"/>
              </w:rPr>
              <w:t>15,220</w:t>
            </w:r>
            <w:r>
              <w:rPr>
                <w:rFonts w:ascii="Arial" w:cs="Arial" w:eastAsia="Arial" w:hAnsi="Arial"/>
                <w:sz w:val="24"/>
                <w:szCs w:val="24"/>
                <w:color w:val="auto"/>
                <w:vertAlign w:val="superscript"/>
              </w:rPr>
              <w:t>(3)</w:t>
            </w:r>
          </w:p>
        </w:tc>
        <w:tc>
          <w:tcPr>
            <w:tcW w:w="94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2,294,719</w:t>
            </w:r>
          </w:p>
        </w:tc>
        <w:tc>
          <w:tcPr>
            <w:tcW w:w="1220" w:type="dxa"/>
            <w:vAlign w:val="bottom"/>
            <w:tcBorders>
              <w:bottom w:val="single" w:sz="8" w:color="002F4D"/>
            </w:tcBorders>
          </w:tcPr>
          <w:p>
            <w:pPr>
              <w:spacing w:after="0"/>
              <w:rPr>
                <w:sz w:val="18"/>
                <w:szCs w:val="18"/>
                <w:color w:val="auto"/>
              </w:rPr>
            </w:pPr>
          </w:p>
        </w:tc>
        <w:tc>
          <w:tcPr>
            <w:tcW w:w="10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1740" w:type="dxa"/>
            <w:vAlign w:val="bottom"/>
          </w:tcPr>
          <w:p>
            <w:pPr>
              <w:spacing w:after="0"/>
              <w:rPr>
                <w:sz w:val="18"/>
                <w:szCs w:val="18"/>
                <w:color w:val="auto"/>
              </w:rPr>
            </w:pPr>
          </w:p>
        </w:tc>
        <w:tc>
          <w:tcPr>
            <w:tcW w:w="1000" w:type="dxa"/>
            <w:vAlign w:val="bottom"/>
            <w:tcBorders>
              <w:bottom w:val="single" w:sz="8" w:color="002F4D"/>
            </w:tcBorders>
          </w:tcPr>
          <w:p>
            <w:pPr>
              <w:spacing w:after="0"/>
              <w:rPr>
                <w:sz w:val="18"/>
                <w:szCs w:val="18"/>
                <w:color w:val="auto"/>
              </w:rPr>
            </w:pPr>
          </w:p>
        </w:tc>
        <w:tc>
          <w:tcPr>
            <w:tcW w:w="1200" w:type="dxa"/>
            <w:vAlign w:val="bottom"/>
            <w:tcBorders>
              <w:bottom w:val="single" w:sz="8" w:color="002F4D"/>
            </w:tcBorders>
          </w:tcPr>
          <w:p>
            <w:pPr>
              <w:spacing w:after="0"/>
              <w:rPr>
                <w:sz w:val="18"/>
                <w:szCs w:val="18"/>
                <w:color w:val="auto"/>
              </w:rPr>
            </w:pPr>
          </w:p>
        </w:tc>
        <w:tc>
          <w:tcPr>
            <w:tcW w:w="1080" w:type="dxa"/>
            <w:vAlign w:val="bottom"/>
            <w:tcBorders>
              <w:bottom w:val="single" w:sz="8" w:color="002F4D"/>
            </w:tcBorders>
          </w:tcPr>
          <w:p>
            <w:pPr>
              <w:spacing w:after="0"/>
              <w:rPr>
                <w:sz w:val="18"/>
                <w:szCs w:val="18"/>
                <w:color w:val="auto"/>
              </w:rPr>
            </w:pPr>
          </w:p>
        </w:tc>
        <w:tc>
          <w:tcPr>
            <w:tcW w:w="820" w:type="dxa"/>
            <w:vAlign w:val="bottom"/>
            <w:tcBorders>
              <w:bottom w:val="single" w:sz="8" w:color="002F4D"/>
            </w:tcBorders>
          </w:tcPr>
          <w:p>
            <w:pPr>
              <w:spacing w:after="0"/>
              <w:rPr>
                <w:sz w:val="18"/>
                <w:szCs w:val="18"/>
                <w:color w:val="auto"/>
              </w:rPr>
            </w:pPr>
          </w:p>
        </w:tc>
        <w:tc>
          <w:tcPr>
            <w:tcW w:w="820" w:type="dxa"/>
            <w:vAlign w:val="bottom"/>
            <w:tcBorders>
              <w:bottom w:val="single" w:sz="8" w:color="002F4D"/>
            </w:tcBorders>
          </w:tcPr>
          <w:p>
            <w:pPr>
              <w:spacing w:after="0"/>
              <w:rPr>
                <w:sz w:val="18"/>
                <w:szCs w:val="18"/>
                <w:color w:val="auto"/>
              </w:rPr>
            </w:pPr>
          </w:p>
        </w:tc>
        <w:tc>
          <w:tcPr>
            <w:tcW w:w="160" w:type="dxa"/>
            <w:vAlign w:val="bottom"/>
            <w:tcBorders>
              <w:bottom w:val="single" w:sz="8" w:color="002F4D"/>
            </w:tcBorders>
          </w:tcPr>
          <w:p>
            <w:pPr>
              <w:spacing w:after="0"/>
              <w:rPr>
                <w:sz w:val="18"/>
                <w:szCs w:val="18"/>
                <w:color w:val="auto"/>
              </w:rPr>
            </w:pPr>
          </w:p>
        </w:tc>
        <w:tc>
          <w:tcPr>
            <w:tcW w:w="1220" w:type="dxa"/>
            <w:vAlign w:val="bottom"/>
            <w:tcBorders>
              <w:bottom w:val="single" w:sz="8" w:color="002F4D"/>
            </w:tcBorders>
          </w:tcPr>
          <w:p>
            <w:pPr>
              <w:jc w:val="right"/>
              <w:ind w:right="106"/>
              <w:spacing w:after="0" w:line="207" w:lineRule="exact"/>
              <w:rPr>
                <w:sz w:val="20"/>
                <w:szCs w:val="20"/>
                <w:color w:val="auto"/>
              </w:rPr>
            </w:pPr>
            <w:r>
              <w:rPr>
                <w:rFonts w:ascii="Arial" w:cs="Arial" w:eastAsia="Arial" w:hAnsi="Arial"/>
                <w:sz w:val="15"/>
                <w:szCs w:val="15"/>
                <w:color w:val="auto"/>
              </w:rPr>
              <w:t>10,300</w:t>
            </w:r>
            <w:r>
              <w:rPr>
                <w:rFonts w:ascii="Arial" w:cs="Arial" w:eastAsia="Arial" w:hAnsi="Arial"/>
                <w:sz w:val="24"/>
                <w:szCs w:val="24"/>
                <w:color w:val="auto"/>
                <w:vertAlign w:val="superscript"/>
              </w:rPr>
              <w:t>(4)</w:t>
            </w:r>
          </w:p>
        </w:tc>
        <w:tc>
          <w:tcPr>
            <w:tcW w:w="94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1,552,931</w:t>
            </w:r>
          </w:p>
        </w:tc>
        <w:tc>
          <w:tcPr>
            <w:tcW w:w="1220" w:type="dxa"/>
            <w:vAlign w:val="bottom"/>
            <w:tcBorders>
              <w:bottom w:val="single" w:sz="8" w:color="002F4D"/>
            </w:tcBorders>
          </w:tcPr>
          <w:p>
            <w:pPr>
              <w:jc w:val="right"/>
              <w:ind w:right="45"/>
              <w:spacing w:after="0" w:line="207" w:lineRule="exact"/>
              <w:rPr>
                <w:sz w:val="20"/>
                <w:szCs w:val="20"/>
                <w:color w:val="auto"/>
              </w:rPr>
            </w:pPr>
            <w:r>
              <w:rPr>
                <w:rFonts w:ascii="Arial" w:cs="Arial" w:eastAsia="Arial" w:hAnsi="Arial"/>
                <w:sz w:val="15"/>
                <w:szCs w:val="15"/>
                <w:color w:val="auto"/>
              </w:rPr>
              <w:t>30,898</w:t>
            </w:r>
            <w:r>
              <w:rPr>
                <w:rFonts w:ascii="Arial" w:cs="Arial" w:eastAsia="Arial" w:hAnsi="Arial"/>
                <w:sz w:val="24"/>
                <w:szCs w:val="24"/>
                <w:color w:val="auto"/>
                <w:vertAlign w:val="superscript"/>
              </w:rPr>
              <w:t>(4)</w:t>
            </w:r>
          </w:p>
        </w:tc>
        <w:tc>
          <w:tcPr>
            <w:tcW w:w="10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4,658,491</w:t>
            </w:r>
          </w:p>
        </w:tc>
      </w:tr>
      <w:tr>
        <w:trPr>
          <w:trHeight w:val="207"/>
        </w:trPr>
        <w:tc>
          <w:tcPr>
            <w:tcW w:w="1740" w:type="dxa"/>
            <w:vAlign w:val="bottom"/>
            <w:tcBorders>
              <w:bottom w:val="single" w:sz="8" w:color="002F4D"/>
            </w:tcBorders>
          </w:tcPr>
          <w:p>
            <w:pPr>
              <w:spacing w:after="0"/>
              <w:rPr>
                <w:sz w:val="18"/>
                <w:szCs w:val="18"/>
                <w:color w:val="auto"/>
              </w:rPr>
            </w:pPr>
          </w:p>
        </w:tc>
        <w:tc>
          <w:tcPr>
            <w:tcW w:w="1000" w:type="dxa"/>
            <w:vAlign w:val="bottom"/>
            <w:tcBorders>
              <w:bottom w:val="single" w:sz="8" w:color="002F4D"/>
            </w:tcBorders>
          </w:tcPr>
          <w:p>
            <w:pPr>
              <w:spacing w:after="0"/>
              <w:rPr>
                <w:sz w:val="18"/>
                <w:szCs w:val="18"/>
                <w:color w:val="auto"/>
              </w:rPr>
            </w:pPr>
          </w:p>
        </w:tc>
        <w:tc>
          <w:tcPr>
            <w:tcW w:w="1200" w:type="dxa"/>
            <w:vAlign w:val="bottom"/>
            <w:tcBorders>
              <w:bottom w:val="single" w:sz="8" w:color="002F4D"/>
            </w:tcBorders>
          </w:tcPr>
          <w:p>
            <w:pPr>
              <w:spacing w:after="0"/>
              <w:rPr>
                <w:sz w:val="18"/>
                <w:szCs w:val="18"/>
                <w:color w:val="auto"/>
              </w:rPr>
            </w:pPr>
          </w:p>
        </w:tc>
        <w:tc>
          <w:tcPr>
            <w:tcW w:w="1080" w:type="dxa"/>
            <w:vAlign w:val="bottom"/>
            <w:tcBorders>
              <w:bottom w:val="single" w:sz="8" w:color="002F4D"/>
            </w:tcBorders>
          </w:tcPr>
          <w:p>
            <w:pPr>
              <w:spacing w:after="0"/>
              <w:rPr>
                <w:sz w:val="18"/>
                <w:szCs w:val="18"/>
                <w:color w:val="auto"/>
              </w:rPr>
            </w:pPr>
          </w:p>
        </w:tc>
        <w:tc>
          <w:tcPr>
            <w:tcW w:w="820" w:type="dxa"/>
            <w:vAlign w:val="bottom"/>
            <w:tcBorders>
              <w:bottom w:val="single" w:sz="8" w:color="002F4D"/>
            </w:tcBorders>
          </w:tcPr>
          <w:p>
            <w:pPr>
              <w:spacing w:after="0"/>
              <w:rPr>
                <w:sz w:val="18"/>
                <w:szCs w:val="18"/>
                <w:color w:val="auto"/>
              </w:rPr>
            </w:pPr>
          </w:p>
        </w:tc>
        <w:tc>
          <w:tcPr>
            <w:tcW w:w="820" w:type="dxa"/>
            <w:vAlign w:val="bottom"/>
            <w:tcBorders>
              <w:bottom w:val="single" w:sz="8" w:color="002F4D"/>
            </w:tcBorders>
          </w:tcPr>
          <w:p>
            <w:pPr>
              <w:spacing w:after="0"/>
              <w:rPr>
                <w:sz w:val="18"/>
                <w:szCs w:val="18"/>
                <w:color w:val="auto"/>
              </w:rPr>
            </w:pPr>
          </w:p>
        </w:tc>
        <w:tc>
          <w:tcPr>
            <w:tcW w:w="160" w:type="dxa"/>
            <w:vAlign w:val="bottom"/>
            <w:tcBorders>
              <w:bottom w:val="single" w:sz="8" w:color="002F4D"/>
            </w:tcBorders>
          </w:tcPr>
          <w:p>
            <w:pPr>
              <w:spacing w:after="0"/>
              <w:rPr>
                <w:sz w:val="18"/>
                <w:szCs w:val="18"/>
                <w:color w:val="auto"/>
              </w:rPr>
            </w:pPr>
          </w:p>
        </w:tc>
        <w:tc>
          <w:tcPr>
            <w:tcW w:w="1220" w:type="dxa"/>
            <w:vAlign w:val="bottom"/>
            <w:tcBorders>
              <w:bottom w:val="single" w:sz="8" w:color="002F4D"/>
            </w:tcBorders>
          </w:tcPr>
          <w:p>
            <w:pPr>
              <w:jc w:val="right"/>
              <w:ind w:right="106"/>
              <w:spacing w:after="0" w:line="207" w:lineRule="exact"/>
              <w:rPr>
                <w:sz w:val="20"/>
                <w:szCs w:val="20"/>
                <w:color w:val="auto"/>
              </w:rPr>
            </w:pPr>
            <w:r>
              <w:rPr>
                <w:rFonts w:ascii="Arial" w:cs="Arial" w:eastAsia="Arial" w:hAnsi="Arial"/>
                <w:sz w:val="15"/>
                <w:szCs w:val="15"/>
                <w:color w:val="auto"/>
              </w:rPr>
              <w:t>14,544</w:t>
            </w:r>
            <w:r>
              <w:rPr>
                <w:rFonts w:ascii="Arial" w:cs="Arial" w:eastAsia="Arial" w:hAnsi="Arial"/>
                <w:sz w:val="24"/>
                <w:szCs w:val="24"/>
                <w:color w:val="auto"/>
                <w:vertAlign w:val="superscript"/>
              </w:rPr>
              <w:t>(5)</w:t>
            </w:r>
          </w:p>
        </w:tc>
        <w:tc>
          <w:tcPr>
            <w:tcW w:w="94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2,192,799</w:t>
            </w:r>
          </w:p>
        </w:tc>
        <w:tc>
          <w:tcPr>
            <w:tcW w:w="1220" w:type="dxa"/>
            <w:vAlign w:val="bottom"/>
            <w:tcBorders>
              <w:bottom w:val="single" w:sz="8" w:color="002F4D"/>
            </w:tcBorders>
          </w:tcPr>
          <w:p>
            <w:pPr>
              <w:jc w:val="right"/>
              <w:ind w:right="45"/>
              <w:spacing w:after="0" w:line="207" w:lineRule="exact"/>
              <w:rPr>
                <w:sz w:val="20"/>
                <w:szCs w:val="20"/>
                <w:color w:val="auto"/>
              </w:rPr>
            </w:pPr>
            <w:r>
              <w:rPr>
                <w:rFonts w:ascii="Arial" w:cs="Arial" w:eastAsia="Arial" w:hAnsi="Arial"/>
                <w:sz w:val="15"/>
                <w:szCs w:val="15"/>
                <w:color w:val="auto"/>
              </w:rPr>
              <w:t>29,086</w:t>
            </w:r>
            <w:r>
              <w:rPr>
                <w:rFonts w:ascii="Arial" w:cs="Arial" w:eastAsia="Arial" w:hAnsi="Arial"/>
                <w:sz w:val="24"/>
                <w:szCs w:val="24"/>
                <w:color w:val="auto"/>
                <w:vertAlign w:val="superscript"/>
              </w:rPr>
              <w:t>(5)</w:t>
            </w:r>
          </w:p>
        </w:tc>
        <w:tc>
          <w:tcPr>
            <w:tcW w:w="10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4,385,296</w:t>
            </w:r>
          </w:p>
        </w:tc>
      </w:tr>
      <w:tr>
        <w:trPr>
          <w:trHeight w:val="207"/>
        </w:trPr>
        <w:tc>
          <w:tcPr>
            <w:tcW w:w="174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auto"/>
              </w:rPr>
              <w:t>Bryan E. Mittelman</w:t>
            </w:r>
          </w:p>
        </w:tc>
        <w:tc>
          <w:tcPr>
            <w:tcW w:w="1000" w:type="dxa"/>
            <w:vAlign w:val="bottom"/>
            <w:tcBorders>
              <w:bottom w:val="single" w:sz="8" w:color="002F4D"/>
            </w:tcBorders>
          </w:tcPr>
          <w:p>
            <w:pPr>
              <w:jc w:val="right"/>
              <w:ind w:right="4"/>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002F4D"/>
            </w:tcBorders>
          </w:tcPr>
          <w:p>
            <w:pPr>
              <w:jc w:val="right"/>
              <w:ind w:right="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002F4D"/>
            </w:tcBorders>
          </w:tcPr>
          <w:p>
            <w:pPr>
              <w:jc w:val="right"/>
              <w:ind w:right="4"/>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002F4D"/>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002F4D"/>
            </w:tcBorders>
          </w:tcPr>
          <w:p>
            <w:pPr>
              <w:jc w:val="right"/>
              <w:ind w:right="106"/>
              <w:spacing w:after="0" w:line="207" w:lineRule="exact"/>
              <w:rPr>
                <w:sz w:val="20"/>
                <w:szCs w:val="20"/>
                <w:color w:val="auto"/>
              </w:rPr>
            </w:pPr>
            <w:r>
              <w:rPr>
                <w:rFonts w:ascii="Arial" w:cs="Arial" w:eastAsia="Arial" w:hAnsi="Arial"/>
                <w:sz w:val="15"/>
                <w:szCs w:val="15"/>
                <w:color w:val="auto"/>
              </w:rPr>
              <w:t>4,332</w:t>
            </w:r>
            <w:r>
              <w:rPr>
                <w:rFonts w:ascii="Arial" w:cs="Arial" w:eastAsia="Arial" w:hAnsi="Arial"/>
                <w:sz w:val="24"/>
                <w:szCs w:val="24"/>
                <w:color w:val="auto"/>
                <w:vertAlign w:val="superscript"/>
              </w:rPr>
              <w:t>(6)</w:t>
            </w:r>
          </w:p>
        </w:tc>
        <w:tc>
          <w:tcPr>
            <w:tcW w:w="94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653,136</w:t>
            </w:r>
          </w:p>
        </w:tc>
        <w:tc>
          <w:tcPr>
            <w:tcW w:w="1220" w:type="dxa"/>
            <w:vAlign w:val="bottom"/>
            <w:tcBorders>
              <w:bottom w:val="single" w:sz="8" w:color="002F4D"/>
            </w:tcBorders>
          </w:tcPr>
          <w:p>
            <w:pPr>
              <w:spacing w:after="0"/>
              <w:rPr>
                <w:sz w:val="18"/>
                <w:szCs w:val="18"/>
                <w:color w:val="auto"/>
              </w:rPr>
            </w:pPr>
          </w:p>
        </w:tc>
        <w:tc>
          <w:tcPr>
            <w:tcW w:w="10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1740" w:type="dxa"/>
            <w:vAlign w:val="bottom"/>
          </w:tcPr>
          <w:p>
            <w:pPr>
              <w:spacing w:after="0"/>
              <w:rPr>
                <w:sz w:val="18"/>
                <w:szCs w:val="18"/>
                <w:color w:val="auto"/>
              </w:rPr>
            </w:pPr>
          </w:p>
        </w:tc>
        <w:tc>
          <w:tcPr>
            <w:tcW w:w="1000" w:type="dxa"/>
            <w:vAlign w:val="bottom"/>
            <w:tcBorders>
              <w:bottom w:val="single" w:sz="8" w:color="002F4D"/>
            </w:tcBorders>
          </w:tcPr>
          <w:p>
            <w:pPr>
              <w:spacing w:after="0"/>
              <w:rPr>
                <w:sz w:val="18"/>
                <w:szCs w:val="18"/>
                <w:color w:val="auto"/>
              </w:rPr>
            </w:pPr>
          </w:p>
        </w:tc>
        <w:tc>
          <w:tcPr>
            <w:tcW w:w="1200" w:type="dxa"/>
            <w:vAlign w:val="bottom"/>
            <w:tcBorders>
              <w:bottom w:val="single" w:sz="8" w:color="002F4D"/>
            </w:tcBorders>
          </w:tcPr>
          <w:p>
            <w:pPr>
              <w:spacing w:after="0"/>
              <w:rPr>
                <w:sz w:val="18"/>
                <w:szCs w:val="18"/>
                <w:color w:val="auto"/>
              </w:rPr>
            </w:pPr>
          </w:p>
        </w:tc>
        <w:tc>
          <w:tcPr>
            <w:tcW w:w="1080" w:type="dxa"/>
            <w:vAlign w:val="bottom"/>
            <w:tcBorders>
              <w:bottom w:val="single" w:sz="8" w:color="002F4D"/>
            </w:tcBorders>
          </w:tcPr>
          <w:p>
            <w:pPr>
              <w:spacing w:after="0"/>
              <w:rPr>
                <w:sz w:val="18"/>
                <w:szCs w:val="18"/>
                <w:color w:val="auto"/>
              </w:rPr>
            </w:pPr>
          </w:p>
        </w:tc>
        <w:tc>
          <w:tcPr>
            <w:tcW w:w="820" w:type="dxa"/>
            <w:vAlign w:val="bottom"/>
            <w:tcBorders>
              <w:bottom w:val="single" w:sz="8" w:color="002F4D"/>
            </w:tcBorders>
          </w:tcPr>
          <w:p>
            <w:pPr>
              <w:spacing w:after="0"/>
              <w:rPr>
                <w:sz w:val="18"/>
                <w:szCs w:val="18"/>
                <w:color w:val="auto"/>
              </w:rPr>
            </w:pPr>
          </w:p>
        </w:tc>
        <w:tc>
          <w:tcPr>
            <w:tcW w:w="820" w:type="dxa"/>
            <w:vAlign w:val="bottom"/>
            <w:tcBorders>
              <w:bottom w:val="single" w:sz="8" w:color="002F4D"/>
            </w:tcBorders>
          </w:tcPr>
          <w:p>
            <w:pPr>
              <w:spacing w:after="0"/>
              <w:rPr>
                <w:sz w:val="18"/>
                <w:szCs w:val="18"/>
                <w:color w:val="auto"/>
              </w:rPr>
            </w:pPr>
          </w:p>
        </w:tc>
        <w:tc>
          <w:tcPr>
            <w:tcW w:w="160" w:type="dxa"/>
            <w:vAlign w:val="bottom"/>
            <w:tcBorders>
              <w:bottom w:val="single" w:sz="8" w:color="002F4D"/>
            </w:tcBorders>
          </w:tcPr>
          <w:p>
            <w:pPr>
              <w:spacing w:after="0"/>
              <w:rPr>
                <w:sz w:val="18"/>
                <w:szCs w:val="18"/>
                <w:color w:val="auto"/>
              </w:rPr>
            </w:pPr>
          </w:p>
        </w:tc>
        <w:tc>
          <w:tcPr>
            <w:tcW w:w="1220" w:type="dxa"/>
            <w:vAlign w:val="bottom"/>
            <w:tcBorders>
              <w:bottom w:val="single" w:sz="8" w:color="002F4D"/>
            </w:tcBorders>
          </w:tcPr>
          <w:p>
            <w:pPr>
              <w:jc w:val="right"/>
              <w:ind w:right="106"/>
              <w:spacing w:after="0" w:line="207" w:lineRule="exact"/>
              <w:rPr>
                <w:sz w:val="20"/>
                <w:szCs w:val="20"/>
                <w:color w:val="auto"/>
              </w:rPr>
            </w:pPr>
            <w:r>
              <w:rPr>
                <w:rFonts w:ascii="Arial" w:cs="Arial" w:eastAsia="Arial" w:hAnsi="Arial"/>
                <w:sz w:val="15"/>
                <w:szCs w:val="15"/>
                <w:color w:val="auto"/>
              </w:rPr>
              <w:t>3,082</w:t>
            </w:r>
            <w:r>
              <w:rPr>
                <w:rFonts w:ascii="Arial" w:cs="Arial" w:eastAsia="Arial" w:hAnsi="Arial"/>
                <w:sz w:val="24"/>
                <w:szCs w:val="24"/>
                <w:color w:val="auto"/>
                <w:vertAlign w:val="superscript"/>
              </w:rPr>
              <w:t>(7)</w:t>
            </w:r>
          </w:p>
        </w:tc>
        <w:tc>
          <w:tcPr>
            <w:tcW w:w="94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464,673</w:t>
            </w:r>
          </w:p>
        </w:tc>
        <w:tc>
          <w:tcPr>
            <w:tcW w:w="1220" w:type="dxa"/>
            <w:vAlign w:val="bottom"/>
            <w:tcBorders>
              <w:bottom w:val="single" w:sz="8" w:color="002F4D"/>
            </w:tcBorders>
          </w:tcPr>
          <w:p>
            <w:pPr>
              <w:jc w:val="right"/>
              <w:ind w:right="45"/>
              <w:spacing w:after="0" w:line="207" w:lineRule="exact"/>
              <w:rPr>
                <w:sz w:val="20"/>
                <w:szCs w:val="20"/>
                <w:color w:val="auto"/>
              </w:rPr>
            </w:pPr>
            <w:r>
              <w:rPr>
                <w:rFonts w:ascii="Arial" w:cs="Arial" w:eastAsia="Arial" w:hAnsi="Arial"/>
                <w:sz w:val="15"/>
                <w:szCs w:val="15"/>
                <w:color w:val="auto"/>
              </w:rPr>
              <w:t>9,246</w:t>
            </w:r>
            <w:r>
              <w:rPr>
                <w:rFonts w:ascii="Arial" w:cs="Arial" w:eastAsia="Arial" w:hAnsi="Arial"/>
                <w:sz w:val="24"/>
                <w:szCs w:val="24"/>
                <w:color w:val="auto"/>
                <w:vertAlign w:val="superscript"/>
              </w:rPr>
              <w:t>(7)</w:t>
            </w:r>
          </w:p>
        </w:tc>
        <w:tc>
          <w:tcPr>
            <w:tcW w:w="10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1,394,019</w:t>
            </w:r>
          </w:p>
        </w:tc>
      </w:tr>
      <w:tr>
        <w:trPr>
          <w:trHeight w:val="207"/>
        </w:trPr>
        <w:tc>
          <w:tcPr>
            <w:tcW w:w="1740" w:type="dxa"/>
            <w:vAlign w:val="bottom"/>
            <w:tcBorders>
              <w:bottom w:val="single" w:sz="8" w:color="002F4D"/>
            </w:tcBorders>
          </w:tcPr>
          <w:p>
            <w:pPr>
              <w:spacing w:after="0"/>
              <w:rPr>
                <w:sz w:val="18"/>
                <w:szCs w:val="18"/>
                <w:color w:val="auto"/>
              </w:rPr>
            </w:pPr>
          </w:p>
        </w:tc>
        <w:tc>
          <w:tcPr>
            <w:tcW w:w="1000" w:type="dxa"/>
            <w:vAlign w:val="bottom"/>
            <w:tcBorders>
              <w:bottom w:val="single" w:sz="8" w:color="002F4D"/>
            </w:tcBorders>
          </w:tcPr>
          <w:p>
            <w:pPr>
              <w:spacing w:after="0"/>
              <w:rPr>
                <w:sz w:val="18"/>
                <w:szCs w:val="18"/>
                <w:color w:val="auto"/>
              </w:rPr>
            </w:pPr>
          </w:p>
        </w:tc>
        <w:tc>
          <w:tcPr>
            <w:tcW w:w="1200" w:type="dxa"/>
            <w:vAlign w:val="bottom"/>
            <w:tcBorders>
              <w:bottom w:val="single" w:sz="8" w:color="002F4D"/>
            </w:tcBorders>
          </w:tcPr>
          <w:p>
            <w:pPr>
              <w:spacing w:after="0"/>
              <w:rPr>
                <w:sz w:val="18"/>
                <w:szCs w:val="18"/>
                <w:color w:val="auto"/>
              </w:rPr>
            </w:pPr>
          </w:p>
        </w:tc>
        <w:tc>
          <w:tcPr>
            <w:tcW w:w="1080" w:type="dxa"/>
            <w:vAlign w:val="bottom"/>
            <w:tcBorders>
              <w:bottom w:val="single" w:sz="8" w:color="002F4D"/>
            </w:tcBorders>
          </w:tcPr>
          <w:p>
            <w:pPr>
              <w:spacing w:after="0"/>
              <w:rPr>
                <w:sz w:val="18"/>
                <w:szCs w:val="18"/>
                <w:color w:val="auto"/>
              </w:rPr>
            </w:pPr>
          </w:p>
        </w:tc>
        <w:tc>
          <w:tcPr>
            <w:tcW w:w="820" w:type="dxa"/>
            <w:vAlign w:val="bottom"/>
            <w:tcBorders>
              <w:bottom w:val="single" w:sz="8" w:color="002F4D"/>
            </w:tcBorders>
          </w:tcPr>
          <w:p>
            <w:pPr>
              <w:spacing w:after="0"/>
              <w:rPr>
                <w:sz w:val="18"/>
                <w:szCs w:val="18"/>
                <w:color w:val="auto"/>
              </w:rPr>
            </w:pPr>
          </w:p>
        </w:tc>
        <w:tc>
          <w:tcPr>
            <w:tcW w:w="820" w:type="dxa"/>
            <w:vAlign w:val="bottom"/>
            <w:tcBorders>
              <w:bottom w:val="single" w:sz="8" w:color="002F4D"/>
            </w:tcBorders>
          </w:tcPr>
          <w:p>
            <w:pPr>
              <w:spacing w:after="0"/>
              <w:rPr>
                <w:sz w:val="18"/>
                <w:szCs w:val="18"/>
                <w:color w:val="auto"/>
              </w:rPr>
            </w:pPr>
          </w:p>
        </w:tc>
        <w:tc>
          <w:tcPr>
            <w:tcW w:w="160" w:type="dxa"/>
            <w:vAlign w:val="bottom"/>
            <w:tcBorders>
              <w:bottom w:val="single" w:sz="8" w:color="002F4D"/>
            </w:tcBorders>
          </w:tcPr>
          <w:p>
            <w:pPr>
              <w:spacing w:after="0"/>
              <w:rPr>
                <w:sz w:val="18"/>
                <w:szCs w:val="18"/>
                <w:color w:val="auto"/>
              </w:rPr>
            </w:pPr>
          </w:p>
        </w:tc>
        <w:tc>
          <w:tcPr>
            <w:tcW w:w="1220" w:type="dxa"/>
            <w:vAlign w:val="bottom"/>
            <w:tcBorders>
              <w:bottom w:val="single" w:sz="8" w:color="002F4D"/>
            </w:tcBorders>
          </w:tcPr>
          <w:p>
            <w:pPr>
              <w:jc w:val="right"/>
              <w:ind w:right="106"/>
              <w:spacing w:after="0" w:line="207" w:lineRule="exact"/>
              <w:rPr>
                <w:sz w:val="20"/>
                <w:szCs w:val="20"/>
                <w:color w:val="auto"/>
              </w:rPr>
            </w:pPr>
            <w:r>
              <w:rPr>
                <w:rFonts w:ascii="Arial" w:cs="Arial" w:eastAsia="Arial" w:hAnsi="Arial"/>
                <w:sz w:val="15"/>
                <w:szCs w:val="15"/>
                <w:color w:val="auto"/>
              </w:rPr>
              <w:t>4,352</w:t>
            </w:r>
            <w:r>
              <w:rPr>
                <w:rFonts w:ascii="Arial" w:cs="Arial" w:eastAsia="Arial" w:hAnsi="Arial"/>
                <w:sz w:val="24"/>
                <w:szCs w:val="24"/>
                <w:color w:val="auto"/>
                <w:vertAlign w:val="superscript"/>
              </w:rPr>
              <w:t>(8)</w:t>
            </w:r>
          </w:p>
        </w:tc>
        <w:tc>
          <w:tcPr>
            <w:tcW w:w="94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656,151</w:t>
            </w:r>
          </w:p>
        </w:tc>
        <w:tc>
          <w:tcPr>
            <w:tcW w:w="1220" w:type="dxa"/>
            <w:vAlign w:val="bottom"/>
            <w:tcBorders>
              <w:bottom w:val="single" w:sz="8" w:color="002F4D"/>
            </w:tcBorders>
          </w:tcPr>
          <w:p>
            <w:pPr>
              <w:jc w:val="right"/>
              <w:ind w:right="45"/>
              <w:spacing w:after="0" w:line="207" w:lineRule="exact"/>
              <w:rPr>
                <w:sz w:val="20"/>
                <w:szCs w:val="20"/>
                <w:color w:val="auto"/>
              </w:rPr>
            </w:pPr>
            <w:r>
              <w:rPr>
                <w:rFonts w:ascii="Arial" w:cs="Arial" w:eastAsia="Arial" w:hAnsi="Arial"/>
                <w:sz w:val="15"/>
                <w:szCs w:val="15"/>
                <w:color w:val="auto"/>
              </w:rPr>
              <w:t>8,703</w:t>
            </w:r>
            <w:r>
              <w:rPr>
                <w:rFonts w:ascii="Arial" w:cs="Arial" w:eastAsia="Arial" w:hAnsi="Arial"/>
                <w:sz w:val="24"/>
                <w:szCs w:val="24"/>
                <w:color w:val="auto"/>
                <w:vertAlign w:val="superscript"/>
              </w:rPr>
              <w:t>(8)</w:t>
            </w:r>
          </w:p>
        </w:tc>
        <w:tc>
          <w:tcPr>
            <w:tcW w:w="10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1,312,151</w:t>
            </w:r>
          </w:p>
        </w:tc>
      </w:tr>
      <w:tr>
        <w:trPr>
          <w:trHeight w:val="207"/>
        </w:trPr>
        <w:tc>
          <w:tcPr>
            <w:tcW w:w="174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auto"/>
              </w:rPr>
              <w:t>James K. Pool III</w:t>
            </w:r>
          </w:p>
        </w:tc>
        <w:tc>
          <w:tcPr>
            <w:tcW w:w="1000" w:type="dxa"/>
            <w:vAlign w:val="bottom"/>
            <w:tcBorders>
              <w:bottom w:val="single" w:sz="8" w:color="002F4D"/>
            </w:tcBorders>
          </w:tcPr>
          <w:p>
            <w:pPr>
              <w:jc w:val="right"/>
              <w:ind w:right="4"/>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002F4D"/>
            </w:tcBorders>
          </w:tcPr>
          <w:p>
            <w:pPr>
              <w:jc w:val="right"/>
              <w:ind w:right="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002F4D"/>
            </w:tcBorders>
          </w:tcPr>
          <w:p>
            <w:pPr>
              <w:jc w:val="right"/>
              <w:ind w:right="4"/>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002F4D"/>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002F4D"/>
            </w:tcBorders>
          </w:tcPr>
          <w:p>
            <w:pPr>
              <w:jc w:val="right"/>
              <w:ind w:right="106"/>
              <w:spacing w:after="0" w:line="207" w:lineRule="exact"/>
              <w:rPr>
                <w:sz w:val="20"/>
                <w:szCs w:val="20"/>
                <w:color w:val="auto"/>
              </w:rPr>
            </w:pPr>
            <w:r>
              <w:rPr>
                <w:rFonts w:ascii="Arial" w:cs="Arial" w:eastAsia="Arial" w:hAnsi="Arial"/>
                <w:sz w:val="15"/>
                <w:szCs w:val="15"/>
                <w:color w:val="auto"/>
              </w:rPr>
              <w:t>5,941</w:t>
            </w:r>
            <w:r>
              <w:rPr>
                <w:rFonts w:ascii="Arial" w:cs="Arial" w:eastAsia="Arial" w:hAnsi="Arial"/>
                <w:sz w:val="24"/>
                <w:szCs w:val="24"/>
                <w:color w:val="auto"/>
                <w:vertAlign w:val="superscript"/>
              </w:rPr>
              <w:t>(9)</w:t>
            </w:r>
          </w:p>
        </w:tc>
        <w:tc>
          <w:tcPr>
            <w:tcW w:w="94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895,725</w:t>
            </w:r>
          </w:p>
        </w:tc>
        <w:tc>
          <w:tcPr>
            <w:tcW w:w="1220" w:type="dxa"/>
            <w:vAlign w:val="bottom"/>
            <w:tcBorders>
              <w:bottom w:val="single" w:sz="8" w:color="002F4D"/>
            </w:tcBorders>
          </w:tcPr>
          <w:p>
            <w:pPr>
              <w:spacing w:after="0"/>
              <w:rPr>
                <w:sz w:val="18"/>
                <w:szCs w:val="18"/>
                <w:color w:val="auto"/>
              </w:rPr>
            </w:pPr>
          </w:p>
        </w:tc>
        <w:tc>
          <w:tcPr>
            <w:tcW w:w="10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1740" w:type="dxa"/>
            <w:vAlign w:val="bottom"/>
          </w:tcPr>
          <w:p>
            <w:pPr>
              <w:spacing w:after="0"/>
              <w:rPr>
                <w:sz w:val="18"/>
                <w:szCs w:val="18"/>
                <w:color w:val="auto"/>
              </w:rPr>
            </w:pPr>
          </w:p>
        </w:tc>
        <w:tc>
          <w:tcPr>
            <w:tcW w:w="1000" w:type="dxa"/>
            <w:vAlign w:val="bottom"/>
            <w:tcBorders>
              <w:bottom w:val="single" w:sz="8" w:color="002F4D"/>
            </w:tcBorders>
          </w:tcPr>
          <w:p>
            <w:pPr>
              <w:spacing w:after="0"/>
              <w:rPr>
                <w:sz w:val="18"/>
                <w:szCs w:val="18"/>
                <w:color w:val="auto"/>
              </w:rPr>
            </w:pPr>
          </w:p>
        </w:tc>
        <w:tc>
          <w:tcPr>
            <w:tcW w:w="1200" w:type="dxa"/>
            <w:vAlign w:val="bottom"/>
            <w:tcBorders>
              <w:bottom w:val="single" w:sz="8" w:color="002F4D"/>
            </w:tcBorders>
          </w:tcPr>
          <w:p>
            <w:pPr>
              <w:spacing w:after="0"/>
              <w:rPr>
                <w:sz w:val="18"/>
                <w:szCs w:val="18"/>
                <w:color w:val="auto"/>
              </w:rPr>
            </w:pPr>
          </w:p>
        </w:tc>
        <w:tc>
          <w:tcPr>
            <w:tcW w:w="1080" w:type="dxa"/>
            <w:vAlign w:val="bottom"/>
            <w:tcBorders>
              <w:bottom w:val="single" w:sz="8" w:color="002F4D"/>
            </w:tcBorders>
          </w:tcPr>
          <w:p>
            <w:pPr>
              <w:spacing w:after="0"/>
              <w:rPr>
                <w:sz w:val="18"/>
                <w:szCs w:val="18"/>
                <w:color w:val="auto"/>
              </w:rPr>
            </w:pPr>
          </w:p>
        </w:tc>
        <w:tc>
          <w:tcPr>
            <w:tcW w:w="820" w:type="dxa"/>
            <w:vAlign w:val="bottom"/>
            <w:tcBorders>
              <w:bottom w:val="single" w:sz="8" w:color="002F4D"/>
            </w:tcBorders>
          </w:tcPr>
          <w:p>
            <w:pPr>
              <w:spacing w:after="0"/>
              <w:rPr>
                <w:sz w:val="18"/>
                <w:szCs w:val="18"/>
                <w:color w:val="auto"/>
              </w:rPr>
            </w:pPr>
          </w:p>
        </w:tc>
        <w:tc>
          <w:tcPr>
            <w:tcW w:w="820" w:type="dxa"/>
            <w:vAlign w:val="bottom"/>
            <w:tcBorders>
              <w:bottom w:val="single" w:sz="8" w:color="002F4D"/>
            </w:tcBorders>
          </w:tcPr>
          <w:p>
            <w:pPr>
              <w:spacing w:after="0"/>
              <w:rPr>
                <w:sz w:val="18"/>
                <w:szCs w:val="18"/>
                <w:color w:val="auto"/>
              </w:rPr>
            </w:pPr>
          </w:p>
        </w:tc>
        <w:tc>
          <w:tcPr>
            <w:tcW w:w="160" w:type="dxa"/>
            <w:vAlign w:val="bottom"/>
            <w:tcBorders>
              <w:bottom w:val="single" w:sz="8" w:color="002F4D"/>
            </w:tcBorders>
          </w:tcPr>
          <w:p>
            <w:pPr>
              <w:spacing w:after="0"/>
              <w:rPr>
                <w:sz w:val="18"/>
                <w:szCs w:val="18"/>
                <w:color w:val="auto"/>
              </w:rPr>
            </w:pPr>
          </w:p>
        </w:tc>
        <w:tc>
          <w:tcPr>
            <w:tcW w:w="1220" w:type="dxa"/>
            <w:vAlign w:val="bottom"/>
            <w:tcBorders>
              <w:bottom w:val="single" w:sz="8" w:color="002F4D"/>
            </w:tcBorders>
          </w:tcPr>
          <w:p>
            <w:pPr>
              <w:jc w:val="right"/>
              <w:ind w:right="46"/>
              <w:spacing w:after="0" w:line="207" w:lineRule="exact"/>
              <w:rPr>
                <w:sz w:val="20"/>
                <w:szCs w:val="20"/>
                <w:color w:val="auto"/>
              </w:rPr>
            </w:pPr>
            <w:r>
              <w:rPr>
                <w:rFonts w:ascii="Arial" w:cs="Arial" w:eastAsia="Arial" w:hAnsi="Arial"/>
                <w:sz w:val="15"/>
                <w:szCs w:val="15"/>
                <w:color w:val="auto"/>
              </w:rPr>
              <w:t>4,217</w:t>
            </w:r>
            <w:r>
              <w:rPr>
                <w:rFonts w:ascii="Arial" w:cs="Arial" w:eastAsia="Arial" w:hAnsi="Arial"/>
                <w:sz w:val="24"/>
                <w:szCs w:val="24"/>
                <w:color w:val="auto"/>
                <w:vertAlign w:val="superscript"/>
              </w:rPr>
              <w:t>(10)</w:t>
            </w:r>
          </w:p>
        </w:tc>
        <w:tc>
          <w:tcPr>
            <w:tcW w:w="94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635,797</w:t>
            </w:r>
          </w:p>
        </w:tc>
        <w:tc>
          <w:tcPr>
            <w:tcW w:w="1220" w:type="dxa"/>
            <w:vAlign w:val="bottom"/>
            <w:tcBorders>
              <w:bottom w:val="single" w:sz="8" w:color="002F4D"/>
            </w:tcBorders>
          </w:tcPr>
          <w:p>
            <w:pPr>
              <w:jc w:val="right"/>
              <w:spacing w:after="0" w:line="207" w:lineRule="exact"/>
              <w:rPr>
                <w:sz w:val="20"/>
                <w:szCs w:val="20"/>
                <w:color w:val="auto"/>
              </w:rPr>
            </w:pPr>
            <w:r>
              <w:rPr>
                <w:rFonts w:ascii="Arial" w:cs="Arial" w:eastAsia="Arial" w:hAnsi="Arial"/>
                <w:sz w:val="15"/>
                <w:szCs w:val="15"/>
                <w:color w:val="auto"/>
              </w:rPr>
              <w:t>12,652</w:t>
            </w:r>
            <w:r>
              <w:rPr>
                <w:rFonts w:ascii="Arial" w:cs="Arial" w:eastAsia="Arial" w:hAnsi="Arial"/>
                <w:sz w:val="24"/>
                <w:szCs w:val="24"/>
                <w:color w:val="auto"/>
                <w:vertAlign w:val="superscript"/>
              </w:rPr>
              <w:t>(10)</w:t>
            </w:r>
          </w:p>
        </w:tc>
        <w:tc>
          <w:tcPr>
            <w:tcW w:w="10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1,907,542</w:t>
            </w:r>
          </w:p>
        </w:tc>
      </w:tr>
      <w:tr>
        <w:trPr>
          <w:trHeight w:val="207"/>
        </w:trPr>
        <w:tc>
          <w:tcPr>
            <w:tcW w:w="1740" w:type="dxa"/>
            <w:vAlign w:val="bottom"/>
            <w:tcBorders>
              <w:bottom w:val="single" w:sz="8" w:color="002F4D"/>
            </w:tcBorders>
          </w:tcPr>
          <w:p>
            <w:pPr>
              <w:spacing w:after="0"/>
              <w:rPr>
                <w:sz w:val="18"/>
                <w:szCs w:val="18"/>
                <w:color w:val="auto"/>
              </w:rPr>
            </w:pPr>
          </w:p>
        </w:tc>
        <w:tc>
          <w:tcPr>
            <w:tcW w:w="1000" w:type="dxa"/>
            <w:vAlign w:val="bottom"/>
            <w:tcBorders>
              <w:bottom w:val="single" w:sz="8" w:color="002F4D"/>
            </w:tcBorders>
          </w:tcPr>
          <w:p>
            <w:pPr>
              <w:spacing w:after="0"/>
              <w:rPr>
                <w:sz w:val="18"/>
                <w:szCs w:val="18"/>
                <w:color w:val="auto"/>
              </w:rPr>
            </w:pPr>
          </w:p>
        </w:tc>
        <w:tc>
          <w:tcPr>
            <w:tcW w:w="1200" w:type="dxa"/>
            <w:vAlign w:val="bottom"/>
            <w:tcBorders>
              <w:bottom w:val="single" w:sz="8" w:color="002F4D"/>
            </w:tcBorders>
          </w:tcPr>
          <w:p>
            <w:pPr>
              <w:spacing w:after="0"/>
              <w:rPr>
                <w:sz w:val="18"/>
                <w:szCs w:val="18"/>
                <w:color w:val="auto"/>
              </w:rPr>
            </w:pPr>
          </w:p>
        </w:tc>
        <w:tc>
          <w:tcPr>
            <w:tcW w:w="1080" w:type="dxa"/>
            <w:vAlign w:val="bottom"/>
            <w:tcBorders>
              <w:bottom w:val="single" w:sz="8" w:color="002F4D"/>
            </w:tcBorders>
          </w:tcPr>
          <w:p>
            <w:pPr>
              <w:spacing w:after="0"/>
              <w:rPr>
                <w:sz w:val="18"/>
                <w:szCs w:val="18"/>
                <w:color w:val="auto"/>
              </w:rPr>
            </w:pPr>
          </w:p>
        </w:tc>
        <w:tc>
          <w:tcPr>
            <w:tcW w:w="820" w:type="dxa"/>
            <w:vAlign w:val="bottom"/>
            <w:tcBorders>
              <w:bottom w:val="single" w:sz="8" w:color="002F4D"/>
            </w:tcBorders>
          </w:tcPr>
          <w:p>
            <w:pPr>
              <w:spacing w:after="0"/>
              <w:rPr>
                <w:sz w:val="18"/>
                <w:szCs w:val="18"/>
                <w:color w:val="auto"/>
              </w:rPr>
            </w:pPr>
          </w:p>
        </w:tc>
        <w:tc>
          <w:tcPr>
            <w:tcW w:w="820" w:type="dxa"/>
            <w:vAlign w:val="bottom"/>
            <w:tcBorders>
              <w:bottom w:val="single" w:sz="8" w:color="002F4D"/>
            </w:tcBorders>
          </w:tcPr>
          <w:p>
            <w:pPr>
              <w:spacing w:after="0"/>
              <w:rPr>
                <w:sz w:val="18"/>
                <w:szCs w:val="18"/>
                <w:color w:val="auto"/>
              </w:rPr>
            </w:pPr>
          </w:p>
        </w:tc>
        <w:tc>
          <w:tcPr>
            <w:tcW w:w="160" w:type="dxa"/>
            <w:vAlign w:val="bottom"/>
            <w:tcBorders>
              <w:bottom w:val="single" w:sz="8" w:color="002F4D"/>
            </w:tcBorders>
          </w:tcPr>
          <w:p>
            <w:pPr>
              <w:spacing w:after="0"/>
              <w:rPr>
                <w:sz w:val="18"/>
                <w:szCs w:val="18"/>
                <w:color w:val="auto"/>
              </w:rPr>
            </w:pPr>
          </w:p>
        </w:tc>
        <w:tc>
          <w:tcPr>
            <w:tcW w:w="1220" w:type="dxa"/>
            <w:vAlign w:val="bottom"/>
            <w:tcBorders>
              <w:bottom w:val="single" w:sz="8" w:color="002F4D"/>
            </w:tcBorders>
          </w:tcPr>
          <w:p>
            <w:pPr>
              <w:jc w:val="right"/>
              <w:ind w:right="46"/>
              <w:spacing w:after="0" w:line="207" w:lineRule="exact"/>
              <w:rPr>
                <w:sz w:val="20"/>
                <w:szCs w:val="20"/>
                <w:color w:val="auto"/>
              </w:rPr>
            </w:pPr>
            <w:r>
              <w:rPr>
                <w:rFonts w:ascii="Arial" w:cs="Arial" w:eastAsia="Arial" w:hAnsi="Arial"/>
                <w:sz w:val="15"/>
                <w:szCs w:val="15"/>
                <w:color w:val="auto"/>
              </w:rPr>
              <w:t>5,955</w:t>
            </w:r>
            <w:r>
              <w:rPr>
                <w:rFonts w:ascii="Arial" w:cs="Arial" w:eastAsia="Arial" w:hAnsi="Arial"/>
                <w:sz w:val="24"/>
                <w:szCs w:val="24"/>
                <w:color w:val="auto"/>
                <w:vertAlign w:val="superscript"/>
              </w:rPr>
              <w:t>(11)</w:t>
            </w:r>
          </w:p>
        </w:tc>
        <w:tc>
          <w:tcPr>
            <w:tcW w:w="94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897,835</w:t>
            </w:r>
          </w:p>
        </w:tc>
        <w:tc>
          <w:tcPr>
            <w:tcW w:w="1220" w:type="dxa"/>
            <w:vAlign w:val="bottom"/>
            <w:tcBorders>
              <w:bottom w:val="single" w:sz="8" w:color="002F4D"/>
            </w:tcBorders>
          </w:tcPr>
          <w:p>
            <w:pPr>
              <w:jc w:val="right"/>
              <w:spacing w:after="0" w:line="207" w:lineRule="exact"/>
              <w:rPr>
                <w:sz w:val="20"/>
                <w:szCs w:val="20"/>
                <w:color w:val="auto"/>
              </w:rPr>
            </w:pPr>
            <w:r>
              <w:rPr>
                <w:rFonts w:ascii="Arial" w:cs="Arial" w:eastAsia="Arial" w:hAnsi="Arial"/>
                <w:sz w:val="15"/>
                <w:szCs w:val="15"/>
                <w:color w:val="auto"/>
              </w:rPr>
              <w:t>11,910</w:t>
            </w:r>
            <w:r>
              <w:rPr>
                <w:rFonts w:ascii="Arial" w:cs="Arial" w:eastAsia="Arial" w:hAnsi="Arial"/>
                <w:sz w:val="24"/>
                <w:szCs w:val="24"/>
                <w:color w:val="auto"/>
                <w:vertAlign w:val="superscript"/>
              </w:rPr>
              <w:t>(11)</w:t>
            </w:r>
          </w:p>
        </w:tc>
        <w:tc>
          <w:tcPr>
            <w:tcW w:w="10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1,795,671</w:t>
            </w:r>
          </w:p>
        </w:tc>
      </w:tr>
      <w:tr>
        <w:trPr>
          <w:trHeight w:val="207"/>
        </w:trPr>
        <w:tc>
          <w:tcPr>
            <w:tcW w:w="174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auto"/>
              </w:rPr>
              <w:t>Steven P. Spittle</w:t>
            </w:r>
          </w:p>
        </w:tc>
        <w:tc>
          <w:tcPr>
            <w:tcW w:w="1000" w:type="dxa"/>
            <w:vAlign w:val="bottom"/>
            <w:tcBorders>
              <w:bottom w:val="single" w:sz="8" w:color="002F4D"/>
            </w:tcBorders>
          </w:tcPr>
          <w:p>
            <w:pPr>
              <w:jc w:val="right"/>
              <w:ind w:right="4"/>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002F4D"/>
            </w:tcBorders>
          </w:tcPr>
          <w:p>
            <w:pPr>
              <w:jc w:val="right"/>
              <w:ind w:right="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002F4D"/>
            </w:tcBorders>
          </w:tcPr>
          <w:p>
            <w:pPr>
              <w:jc w:val="right"/>
              <w:ind w:right="4"/>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002F4D"/>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002F4D"/>
            </w:tcBorders>
          </w:tcPr>
          <w:p>
            <w:pPr>
              <w:jc w:val="right"/>
              <w:ind w:right="46"/>
              <w:spacing w:after="0" w:line="207" w:lineRule="exact"/>
              <w:rPr>
                <w:sz w:val="20"/>
                <w:szCs w:val="20"/>
                <w:color w:val="auto"/>
              </w:rPr>
            </w:pPr>
            <w:r>
              <w:rPr>
                <w:rFonts w:ascii="Arial" w:cs="Arial" w:eastAsia="Arial" w:hAnsi="Arial"/>
                <w:sz w:val="15"/>
                <w:szCs w:val="15"/>
                <w:color w:val="auto"/>
              </w:rPr>
              <w:t>5,941</w:t>
            </w:r>
            <w:r>
              <w:rPr>
                <w:rFonts w:ascii="Arial" w:cs="Arial" w:eastAsia="Arial" w:hAnsi="Arial"/>
                <w:sz w:val="24"/>
                <w:szCs w:val="24"/>
                <w:color w:val="auto"/>
                <w:vertAlign w:val="superscript"/>
              </w:rPr>
              <w:t>(12)</w:t>
            </w:r>
          </w:p>
        </w:tc>
        <w:tc>
          <w:tcPr>
            <w:tcW w:w="94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895,725</w:t>
            </w:r>
          </w:p>
        </w:tc>
        <w:tc>
          <w:tcPr>
            <w:tcW w:w="1220" w:type="dxa"/>
            <w:vAlign w:val="bottom"/>
            <w:tcBorders>
              <w:bottom w:val="single" w:sz="8" w:color="002F4D"/>
            </w:tcBorders>
          </w:tcPr>
          <w:p>
            <w:pPr>
              <w:spacing w:after="0"/>
              <w:rPr>
                <w:sz w:val="18"/>
                <w:szCs w:val="18"/>
                <w:color w:val="auto"/>
              </w:rPr>
            </w:pPr>
          </w:p>
        </w:tc>
        <w:tc>
          <w:tcPr>
            <w:tcW w:w="10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1740" w:type="dxa"/>
            <w:vAlign w:val="bottom"/>
          </w:tcPr>
          <w:p>
            <w:pPr>
              <w:spacing w:after="0"/>
              <w:rPr>
                <w:sz w:val="18"/>
                <w:szCs w:val="18"/>
                <w:color w:val="auto"/>
              </w:rPr>
            </w:pPr>
          </w:p>
        </w:tc>
        <w:tc>
          <w:tcPr>
            <w:tcW w:w="1000" w:type="dxa"/>
            <w:vAlign w:val="bottom"/>
            <w:tcBorders>
              <w:bottom w:val="single" w:sz="8" w:color="002F4D"/>
            </w:tcBorders>
          </w:tcPr>
          <w:p>
            <w:pPr>
              <w:spacing w:after="0"/>
              <w:rPr>
                <w:sz w:val="18"/>
                <w:szCs w:val="18"/>
                <w:color w:val="auto"/>
              </w:rPr>
            </w:pPr>
          </w:p>
        </w:tc>
        <w:tc>
          <w:tcPr>
            <w:tcW w:w="1200" w:type="dxa"/>
            <w:vAlign w:val="bottom"/>
            <w:tcBorders>
              <w:bottom w:val="single" w:sz="8" w:color="002F4D"/>
            </w:tcBorders>
          </w:tcPr>
          <w:p>
            <w:pPr>
              <w:spacing w:after="0"/>
              <w:rPr>
                <w:sz w:val="18"/>
                <w:szCs w:val="18"/>
                <w:color w:val="auto"/>
              </w:rPr>
            </w:pPr>
          </w:p>
        </w:tc>
        <w:tc>
          <w:tcPr>
            <w:tcW w:w="1080" w:type="dxa"/>
            <w:vAlign w:val="bottom"/>
            <w:tcBorders>
              <w:bottom w:val="single" w:sz="8" w:color="002F4D"/>
            </w:tcBorders>
          </w:tcPr>
          <w:p>
            <w:pPr>
              <w:spacing w:after="0"/>
              <w:rPr>
                <w:sz w:val="18"/>
                <w:szCs w:val="18"/>
                <w:color w:val="auto"/>
              </w:rPr>
            </w:pPr>
          </w:p>
        </w:tc>
        <w:tc>
          <w:tcPr>
            <w:tcW w:w="820" w:type="dxa"/>
            <w:vAlign w:val="bottom"/>
            <w:tcBorders>
              <w:bottom w:val="single" w:sz="8" w:color="002F4D"/>
            </w:tcBorders>
          </w:tcPr>
          <w:p>
            <w:pPr>
              <w:spacing w:after="0"/>
              <w:rPr>
                <w:sz w:val="18"/>
                <w:szCs w:val="18"/>
                <w:color w:val="auto"/>
              </w:rPr>
            </w:pPr>
          </w:p>
        </w:tc>
        <w:tc>
          <w:tcPr>
            <w:tcW w:w="820" w:type="dxa"/>
            <w:vAlign w:val="bottom"/>
            <w:tcBorders>
              <w:bottom w:val="single" w:sz="8" w:color="002F4D"/>
            </w:tcBorders>
          </w:tcPr>
          <w:p>
            <w:pPr>
              <w:spacing w:after="0"/>
              <w:rPr>
                <w:sz w:val="18"/>
                <w:szCs w:val="18"/>
                <w:color w:val="auto"/>
              </w:rPr>
            </w:pPr>
          </w:p>
        </w:tc>
        <w:tc>
          <w:tcPr>
            <w:tcW w:w="160" w:type="dxa"/>
            <w:vAlign w:val="bottom"/>
            <w:tcBorders>
              <w:bottom w:val="single" w:sz="8" w:color="002F4D"/>
            </w:tcBorders>
          </w:tcPr>
          <w:p>
            <w:pPr>
              <w:spacing w:after="0"/>
              <w:rPr>
                <w:sz w:val="18"/>
                <w:szCs w:val="18"/>
                <w:color w:val="auto"/>
              </w:rPr>
            </w:pPr>
          </w:p>
        </w:tc>
        <w:tc>
          <w:tcPr>
            <w:tcW w:w="1220" w:type="dxa"/>
            <w:vAlign w:val="bottom"/>
            <w:tcBorders>
              <w:bottom w:val="single" w:sz="8" w:color="002F4D"/>
            </w:tcBorders>
          </w:tcPr>
          <w:p>
            <w:pPr>
              <w:jc w:val="right"/>
              <w:ind w:right="46"/>
              <w:spacing w:after="0" w:line="207" w:lineRule="exact"/>
              <w:rPr>
                <w:sz w:val="20"/>
                <w:szCs w:val="20"/>
                <w:color w:val="auto"/>
              </w:rPr>
            </w:pPr>
            <w:r>
              <w:rPr>
                <w:rFonts w:ascii="Arial" w:cs="Arial" w:eastAsia="Arial" w:hAnsi="Arial"/>
                <w:sz w:val="15"/>
                <w:szCs w:val="15"/>
                <w:color w:val="auto"/>
              </w:rPr>
              <w:t>4,217</w:t>
            </w:r>
            <w:r>
              <w:rPr>
                <w:rFonts w:ascii="Arial" w:cs="Arial" w:eastAsia="Arial" w:hAnsi="Arial"/>
                <w:sz w:val="24"/>
                <w:szCs w:val="24"/>
                <w:color w:val="auto"/>
                <w:vertAlign w:val="superscript"/>
              </w:rPr>
              <w:t>(13)</w:t>
            </w:r>
          </w:p>
        </w:tc>
        <w:tc>
          <w:tcPr>
            <w:tcW w:w="94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635,797</w:t>
            </w:r>
          </w:p>
        </w:tc>
        <w:tc>
          <w:tcPr>
            <w:tcW w:w="1220" w:type="dxa"/>
            <w:vAlign w:val="bottom"/>
            <w:tcBorders>
              <w:bottom w:val="single" w:sz="8" w:color="002F4D"/>
            </w:tcBorders>
          </w:tcPr>
          <w:p>
            <w:pPr>
              <w:jc w:val="right"/>
              <w:spacing w:after="0" w:line="207" w:lineRule="exact"/>
              <w:rPr>
                <w:sz w:val="20"/>
                <w:szCs w:val="20"/>
                <w:color w:val="auto"/>
              </w:rPr>
            </w:pPr>
            <w:r>
              <w:rPr>
                <w:rFonts w:ascii="Arial" w:cs="Arial" w:eastAsia="Arial" w:hAnsi="Arial"/>
                <w:sz w:val="15"/>
                <w:szCs w:val="15"/>
                <w:color w:val="auto"/>
              </w:rPr>
              <w:t>12,652</w:t>
            </w:r>
            <w:r>
              <w:rPr>
                <w:rFonts w:ascii="Arial" w:cs="Arial" w:eastAsia="Arial" w:hAnsi="Arial"/>
                <w:sz w:val="24"/>
                <w:szCs w:val="24"/>
                <w:color w:val="auto"/>
                <w:vertAlign w:val="superscript"/>
              </w:rPr>
              <w:t>(13)</w:t>
            </w:r>
          </w:p>
        </w:tc>
        <w:tc>
          <w:tcPr>
            <w:tcW w:w="10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1,907,542</w:t>
            </w:r>
          </w:p>
        </w:tc>
      </w:tr>
      <w:tr>
        <w:trPr>
          <w:trHeight w:val="207"/>
        </w:trPr>
        <w:tc>
          <w:tcPr>
            <w:tcW w:w="1740" w:type="dxa"/>
            <w:vAlign w:val="bottom"/>
            <w:tcBorders>
              <w:bottom w:val="single" w:sz="8" w:color="002F4D"/>
            </w:tcBorders>
          </w:tcPr>
          <w:p>
            <w:pPr>
              <w:spacing w:after="0"/>
              <w:rPr>
                <w:sz w:val="18"/>
                <w:szCs w:val="18"/>
                <w:color w:val="auto"/>
              </w:rPr>
            </w:pPr>
          </w:p>
        </w:tc>
        <w:tc>
          <w:tcPr>
            <w:tcW w:w="1000" w:type="dxa"/>
            <w:vAlign w:val="bottom"/>
            <w:tcBorders>
              <w:bottom w:val="single" w:sz="8" w:color="002F4D"/>
            </w:tcBorders>
          </w:tcPr>
          <w:p>
            <w:pPr>
              <w:spacing w:after="0"/>
              <w:rPr>
                <w:sz w:val="18"/>
                <w:szCs w:val="18"/>
                <w:color w:val="auto"/>
              </w:rPr>
            </w:pPr>
          </w:p>
        </w:tc>
        <w:tc>
          <w:tcPr>
            <w:tcW w:w="1200" w:type="dxa"/>
            <w:vAlign w:val="bottom"/>
            <w:tcBorders>
              <w:bottom w:val="single" w:sz="8" w:color="002F4D"/>
            </w:tcBorders>
          </w:tcPr>
          <w:p>
            <w:pPr>
              <w:spacing w:after="0"/>
              <w:rPr>
                <w:sz w:val="18"/>
                <w:szCs w:val="18"/>
                <w:color w:val="auto"/>
              </w:rPr>
            </w:pPr>
          </w:p>
        </w:tc>
        <w:tc>
          <w:tcPr>
            <w:tcW w:w="1080" w:type="dxa"/>
            <w:vAlign w:val="bottom"/>
            <w:tcBorders>
              <w:bottom w:val="single" w:sz="8" w:color="002F4D"/>
            </w:tcBorders>
          </w:tcPr>
          <w:p>
            <w:pPr>
              <w:spacing w:after="0"/>
              <w:rPr>
                <w:sz w:val="18"/>
                <w:szCs w:val="18"/>
                <w:color w:val="auto"/>
              </w:rPr>
            </w:pPr>
          </w:p>
        </w:tc>
        <w:tc>
          <w:tcPr>
            <w:tcW w:w="820" w:type="dxa"/>
            <w:vAlign w:val="bottom"/>
            <w:tcBorders>
              <w:bottom w:val="single" w:sz="8" w:color="002F4D"/>
            </w:tcBorders>
          </w:tcPr>
          <w:p>
            <w:pPr>
              <w:spacing w:after="0"/>
              <w:rPr>
                <w:sz w:val="18"/>
                <w:szCs w:val="18"/>
                <w:color w:val="auto"/>
              </w:rPr>
            </w:pPr>
          </w:p>
        </w:tc>
        <w:tc>
          <w:tcPr>
            <w:tcW w:w="820" w:type="dxa"/>
            <w:vAlign w:val="bottom"/>
            <w:tcBorders>
              <w:bottom w:val="single" w:sz="8" w:color="002F4D"/>
            </w:tcBorders>
          </w:tcPr>
          <w:p>
            <w:pPr>
              <w:spacing w:after="0"/>
              <w:rPr>
                <w:sz w:val="18"/>
                <w:szCs w:val="18"/>
                <w:color w:val="auto"/>
              </w:rPr>
            </w:pPr>
          </w:p>
        </w:tc>
        <w:tc>
          <w:tcPr>
            <w:tcW w:w="160" w:type="dxa"/>
            <w:vAlign w:val="bottom"/>
            <w:tcBorders>
              <w:bottom w:val="single" w:sz="8" w:color="002F4D"/>
            </w:tcBorders>
          </w:tcPr>
          <w:p>
            <w:pPr>
              <w:spacing w:after="0"/>
              <w:rPr>
                <w:sz w:val="18"/>
                <w:szCs w:val="18"/>
                <w:color w:val="auto"/>
              </w:rPr>
            </w:pPr>
          </w:p>
        </w:tc>
        <w:tc>
          <w:tcPr>
            <w:tcW w:w="1220" w:type="dxa"/>
            <w:vAlign w:val="bottom"/>
            <w:tcBorders>
              <w:bottom w:val="single" w:sz="8" w:color="002F4D"/>
            </w:tcBorders>
          </w:tcPr>
          <w:p>
            <w:pPr>
              <w:jc w:val="right"/>
              <w:ind w:right="46"/>
              <w:spacing w:after="0" w:line="207" w:lineRule="exact"/>
              <w:rPr>
                <w:sz w:val="20"/>
                <w:szCs w:val="20"/>
                <w:color w:val="auto"/>
              </w:rPr>
            </w:pPr>
            <w:r>
              <w:rPr>
                <w:rFonts w:ascii="Arial" w:cs="Arial" w:eastAsia="Arial" w:hAnsi="Arial"/>
                <w:sz w:val="15"/>
                <w:szCs w:val="15"/>
                <w:color w:val="auto"/>
              </w:rPr>
              <w:t>5,955</w:t>
            </w:r>
            <w:r>
              <w:rPr>
                <w:rFonts w:ascii="Arial" w:cs="Arial" w:eastAsia="Arial" w:hAnsi="Arial"/>
                <w:sz w:val="24"/>
                <w:szCs w:val="24"/>
                <w:color w:val="auto"/>
                <w:vertAlign w:val="superscript"/>
              </w:rPr>
              <w:t>(14)</w:t>
            </w:r>
          </w:p>
        </w:tc>
        <w:tc>
          <w:tcPr>
            <w:tcW w:w="94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897,835</w:t>
            </w:r>
          </w:p>
        </w:tc>
        <w:tc>
          <w:tcPr>
            <w:tcW w:w="1220" w:type="dxa"/>
            <w:vAlign w:val="bottom"/>
            <w:tcBorders>
              <w:bottom w:val="single" w:sz="8" w:color="002F4D"/>
            </w:tcBorders>
          </w:tcPr>
          <w:p>
            <w:pPr>
              <w:jc w:val="right"/>
              <w:spacing w:after="0" w:line="207" w:lineRule="exact"/>
              <w:rPr>
                <w:sz w:val="20"/>
                <w:szCs w:val="20"/>
                <w:color w:val="auto"/>
              </w:rPr>
            </w:pPr>
            <w:r>
              <w:rPr>
                <w:rFonts w:ascii="Arial" w:cs="Arial" w:eastAsia="Arial" w:hAnsi="Arial"/>
                <w:sz w:val="15"/>
                <w:szCs w:val="15"/>
                <w:color w:val="auto"/>
              </w:rPr>
              <w:t>11,910</w:t>
            </w:r>
            <w:r>
              <w:rPr>
                <w:rFonts w:ascii="Arial" w:cs="Arial" w:eastAsia="Arial" w:hAnsi="Arial"/>
                <w:sz w:val="24"/>
                <w:szCs w:val="24"/>
                <w:color w:val="auto"/>
                <w:vertAlign w:val="superscript"/>
              </w:rPr>
              <w:t>(14)</w:t>
            </w:r>
          </w:p>
        </w:tc>
        <w:tc>
          <w:tcPr>
            <w:tcW w:w="10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1,795,671</w:t>
            </w:r>
          </w:p>
        </w:tc>
      </w:tr>
      <w:tr>
        <w:trPr>
          <w:trHeight w:val="207"/>
        </w:trPr>
        <w:tc>
          <w:tcPr>
            <w:tcW w:w="174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auto"/>
              </w:rPr>
              <w:t>Matthew R. Fuchsen</w:t>
            </w:r>
          </w:p>
        </w:tc>
        <w:tc>
          <w:tcPr>
            <w:tcW w:w="1000" w:type="dxa"/>
            <w:vAlign w:val="bottom"/>
            <w:tcBorders>
              <w:bottom w:val="single" w:sz="8" w:color="002F4D"/>
            </w:tcBorders>
          </w:tcPr>
          <w:p>
            <w:pPr>
              <w:jc w:val="right"/>
              <w:ind w:right="4"/>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002F4D"/>
            </w:tcBorders>
          </w:tcPr>
          <w:p>
            <w:pPr>
              <w:jc w:val="right"/>
              <w:ind w:right="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002F4D"/>
            </w:tcBorders>
          </w:tcPr>
          <w:p>
            <w:pPr>
              <w:jc w:val="right"/>
              <w:ind w:right="4"/>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002F4D"/>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002F4D"/>
            </w:tcBorders>
          </w:tcPr>
          <w:p>
            <w:pPr>
              <w:jc w:val="right"/>
              <w:ind w:right="46"/>
              <w:spacing w:after="0" w:line="207" w:lineRule="exact"/>
              <w:rPr>
                <w:sz w:val="20"/>
                <w:szCs w:val="20"/>
                <w:color w:val="auto"/>
              </w:rPr>
            </w:pPr>
            <w:r>
              <w:rPr>
                <w:rFonts w:ascii="Arial" w:cs="Arial" w:eastAsia="Arial" w:hAnsi="Arial"/>
                <w:sz w:val="15"/>
                <w:szCs w:val="15"/>
                <w:color w:val="auto"/>
              </w:rPr>
              <w:t>3,373</w:t>
            </w:r>
            <w:r>
              <w:rPr>
                <w:rFonts w:ascii="Arial" w:cs="Arial" w:eastAsia="Arial" w:hAnsi="Arial"/>
                <w:sz w:val="24"/>
                <w:szCs w:val="24"/>
                <w:color w:val="auto"/>
                <w:vertAlign w:val="superscript"/>
              </w:rPr>
              <w:t>(15)</w:t>
            </w:r>
          </w:p>
        </w:tc>
        <w:tc>
          <w:tcPr>
            <w:tcW w:w="94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508,547</w:t>
            </w:r>
          </w:p>
        </w:tc>
        <w:tc>
          <w:tcPr>
            <w:tcW w:w="1220" w:type="dxa"/>
            <w:vAlign w:val="bottom"/>
            <w:tcBorders>
              <w:bottom w:val="single" w:sz="8" w:color="002F4D"/>
            </w:tcBorders>
          </w:tcPr>
          <w:p>
            <w:pPr>
              <w:spacing w:after="0"/>
              <w:rPr>
                <w:sz w:val="18"/>
                <w:szCs w:val="18"/>
                <w:color w:val="auto"/>
              </w:rPr>
            </w:pPr>
          </w:p>
        </w:tc>
        <w:tc>
          <w:tcPr>
            <w:tcW w:w="10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1740" w:type="dxa"/>
            <w:vAlign w:val="bottom"/>
          </w:tcPr>
          <w:p>
            <w:pPr>
              <w:spacing w:after="0"/>
              <w:rPr>
                <w:sz w:val="18"/>
                <w:szCs w:val="18"/>
                <w:color w:val="auto"/>
              </w:rPr>
            </w:pPr>
          </w:p>
        </w:tc>
        <w:tc>
          <w:tcPr>
            <w:tcW w:w="1000" w:type="dxa"/>
            <w:vAlign w:val="bottom"/>
            <w:tcBorders>
              <w:bottom w:val="single" w:sz="8" w:color="002F4D"/>
            </w:tcBorders>
          </w:tcPr>
          <w:p>
            <w:pPr>
              <w:spacing w:after="0"/>
              <w:rPr>
                <w:sz w:val="18"/>
                <w:szCs w:val="18"/>
                <w:color w:val="auto"/>
              </w:rPr>
            </w:pPr>
          </w:p>
        </w:tc>
        <w:tc>
          <w:tcPr>
            <w:tcW w:w="1200" w:type="dxa"/>
            <w:vAlign w:val="bottom"/>
            <w:tcBorders>
              <w:bottom w:val="single" w:sz="8" w:color="002F4D"/>
            </w:tcBorders>
          </w:tcPr>
          <w:p>
            <w:pPr>
              <w:spacing w:after="0"/>
              <w:rPr>
                <w:sz w:val="18"/>
                <w:szCs w:val="18"/>
                <w:color w:val="auto"/>
              </w:rPr>
            </w:pPr>
          </w:p>
        </w:tc>
        <w:tc>
          <w:tcPr>
            <w:tcW w:w="1080" w:type="dxa"/>
            <w:vAlign w:val="bottom"/>
            <w:tcBorders>
              <w:bottom w:val="single" w:sz="8" w:color="002F4D"/>
            </w:tcBorders>
          </w:tcPr>
          <w:p>
            <w:pPr>
              <w:spacing w:after="0"/>
              <w:rPr>
                <w:sz w:val="18"/>
                <w:szCs w:val="18"/>
                <w:color w:val="auto"/>
              </w:rPr>
            </w:pPr>
          </w:p>
        </w:tc>
        <w:tc>
          <w:tcPr>
            <w:tcW w:w="820" w:type="dxa"/>
            <w:vAlign w:val="bottom"/>
            <w:tcBorders>
              <w:bottom w:val="single" w:sz="8" w:color="002F4D"/>
            </w:tcBorders>
          </w:tcPr>
          <w:p>
            <w:pPr>
              <w:spacing w:after="0"/>
              <w:rPr>
                <w:sz w:val="18"/>
                <w:szCs w:val="18"/>
                <w:color w:val="auto"/>
              </w:rPr>
            </w:pPr>
          </w:p>
        </w:tc>
        <w:tc>
          <w:tcPr>
            <w:tcW w:w="820" w:type="dxa"/>
            <w:vAlign w:val="bottom"/>
            <w:tcBorders>
              <w:bottom w:val="single" w:sz="8" w:color="002F4D"/>
            </w:tcBorders>
          </w:tcPr>
          <w:p>
            <w:pPr>
              <w:spacing w:after="0"/>
              <w:rPr>
                <w:sz w:val="18"/>
                <w:szCs w:val="18"/>
                <w:color w:val="auto"/>
              </w:rPr>
            </w:pPr>
          </w:p>
        </w:tc>
        <w:tc>
          <w:tcPr>
            <w:tcW w:w="160" w:type="dxa"/>
            <w:vAlign w:val="bottom"/>
            <w:tcBorders>
              <w:bottom w:val="single" w:sz="8" w:color="002F4D"/>
            </w:tcBorders>
          </w:tcPr>
          <w:p>
            <w:pPr>
              <w:spacing w:after="0"/>
              <w:rPr>
                <w:sz w:val="18"/>
                <w:szCs w:val="18"/>
                <w:color w:val="auto"/>
              </w:rPr>
            </w:pPr>
          </w:p>
        </w:tc>
        <w:tc>
          <w:tcPr>
            <w:tcW w:w="1220" w:type="dxa"/>
            <w:vAlign w:val="bottom"/>
            <w:tcBorders>
              <w:bottom w:val="single" w:sz="8" w:color="002F4D"/>
            </w:tcBorders>
          </w:tcPr>
          <w:p>
            <w:pPr>
              <w:jc w:val="right"/>
              <w:ind w:right="46"/>
              <w:spacing w:after="0" w:line="207" w:lineRule="exact"/>
              <w:rPr>
                <w:sz w:val="20"/>
                <w:szCs w:val="20"/>
                <w:color w:val="auto"/>
              </w:rPr>
            </w:pPr>
            <w:r>
              <w:rPr>
                <w:rFonts w:ascii="Arial" w:cs="Arial" w:eastAsia="Arial" w:hAnsi="Arial"/>
                <w:sz w:val="15"/>
                <w:szCs w:val="15"/>
                <w:color w:val="auto"/>
              </w:rPr>
              <w:t>2,312</w:t>
            </w:r>
            <w:r>
              <w:rPr>
                <w:rFonts w:ascii="Arial" w:cs="Arial" w:eastAsia="Arial" w:hAnsi="Arial"/>
                <w:sz w:val="24"/>
                <w:szCs w:val="24"/>
                <w:color w:val="auto"/>
                <w:vertAlign w:val="superscript"/>
              </w:rPr>
              <w:t>(16)</w:t>
            </w:r>
          </w:p>
        </w:tc>
        <w:tc>
          <w:tcPr>
            <w:tcW w:w="94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348,580</w:t>
            </w:r>
          </w:p>
        </w:tc>
        <w:tc>
          <w:tcPr>
            <w:tcW w:w="1220" w:type="dxa"/>
            <w:vAlign w:val="bottom"/>
            <w:tcBorders>
              <w:bottom w:val="single" w:sz="8" w:color="002F4D"/>
            </w:tcBorders>
          </w:tcPr>
          <w:p>
            <w:pPr>
              <w:jc w:val="right"/>
              <w:spacing w:after="0" w:line="207" w:lineRule="exact"/>
              <w:rPr>
                <w:sz w:val="20"/>
                <w:szCs w:val="20"/>
                <w:color w:val="auto"/>
              </w:rPr>
            </w:pPr>
            <w:r>
              <w:rPr>
                <w:rFonts w:ascii="Arial" w:cs="Arial" w:eastAsia="Arial" w:hAnsi="Arial"/>
                <w:sz w:val="15"/>
                <w:szCs w:val="15"/>
                <w:color w:val="auto"/>
              </w:rPr>
              <w:t>6,934</w:t>
            </w:r>
            <w:r>
              <w:rPr>
                <w:rFonts w:ascii="Arial" w:cs="Arial" w:eastAsia="Arial" w:hAnsi="Arial"/>
                <w:sz w:val="24"/>
                <w:szCs w:val="24"/>
                <w:color w:val="auto"/>
                <w:vertAlign w:val="superscript"/>
              </w:rPr>
              <w:t>(16)</w:t>
            </w:r>
          </w:p>
        </w:tc>
        <w:tc>
          <w:tcPr>
            <w:tcW w:w="10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1,045,439</w:t>
            </w:r>
          </w:p>
        </w:tc>
      </w:tr>
      <w:tr>
        <w:trPr>
          <w:trHeight w:val="212"/>
        </w:trPr>
        <w:tc>
          <w:tcPr>
            <w:tcW w:w="1740" w:type="dxa"/>
            <w:vAlign w:val="bottom"/>
            <w:tcBorders>
              <w:bottom w:val="single" w:sz="8" w:color="002F4D"/>
            </w:tcBorders>
          </w:tcPr>
          <w:p>
            <w:pPr>
              <w:spacing w:after="0"/>
              <w:rPr>
                <w:sz w:val="18"/>
                <w:szCs w:val="18"/>
                <w:color w:val="auto"/>
              </w:rPr>
            </w:pPr>
          </w:p>
        </w:tc>
        <w:tc>
          <w:tcPr>
            <w:tcW w:w="1000" w:type="dxa"/>
            <w:vAlign w:val="bottom"/>
            <w:tcBorders>
              <w:bottom w:val="single" w:sz="8" w:color="002F4D"/>
            </w:tcBorders>
          </w:tcPr>
          <w:p>
            <w:pPr>
              <w:spacing w:after="0"/>
              <w:rPr>
                <w:sz w:val="18"/>
                <w:szCs w:val="18"/>
                <w:color w:val="auto"/>
              </w:rPr>
            </w:pPr>
          </w:p>
        </w:tc>
        <w:tc>
          <w:tcPr>
            <w:tcW w:w="1200" w:type="dxa"/>
            <w:vAlign w:val="bottom"/>
            <w:tcBorders>
              <w:bottom w:val="single" w:sz="8" w:color="002F4D"/>
            </w:tcBorders>
          </w:tcPr>
          <w:p>
            <w:pPr>
              <w:spacing w:after="0"/>
              <w:rPr>
                <w:sz w:val="18"/>
                <w:szCs w:val="18"/>
                <w:color w:val="auto"/>
              </w:rPr>
            </w:pPr>
          </w:p>
        </w:tc>
        <w:tc>
          <w:tcPr>
            <w:tcW w:w="1080" w:type="dxa"/>
            <w:vAlign w:val="bottom"/>
            <w:tcBorders>
              <w:bottom w:val="single" w:sz="8" w:color="002F4D"/>
            </w:tcBorders>
          </w:tcPr>
          <w:p>
            <w:pPr>
              <w:spacing w:after="0"/>
              <w:rPr>
                <w:sz w:val="18"/>
                <w:szCs w:val="18"/>
                <w:color w:val="auto"/>
              </w:rPr>
            </w:pPr>
          </w:p>
        </w:tc>
        <w:tc>
          <w:tcPr>
            <w:tcW w:w="820" w:type="dxa"/>
            <w:vAlign w:val="bottom"/>
            <w:tcBorders>
              <w:bottom w:val="single" w:sz="8" w:color="002F4D"/>
            </w:tcBorders>
          </w:tcPr>
          <w:p>
            <w:pPr>
              <w:spacing w:after="0"/>
              <w:rPr>
                <w:sz w:val="18"/>
                <w:szCs w:val="18"/>
                <w:color w:val="auto"/>
              </w:rPr>
            </w:pPr>
          </w:p>
        </w:tc>
        <w:tc>
          <w:tcPr>
            <w:tcW w:w="820" w:type="dxa"/>
            <w:vAlign w:val="bottom"/>
            <w:tcBorders>
              <w:bottom w:val="single" w:sz="8" w:color="002F4D"/>
            </w:tcBorders>
          </w:tcPr>
          <w:p>
            <w:pPr>
              <w:spacing w:after="0"/>
              <w:rPr>
                <w:sz w:val="18"/>
                <w:szCs w:val="18"/>
                <w:color w:val="auto"/>
              </w:rPr>
            </w:pPr>
          </w:p>
        </w:tc>
        <w:tc>
          <w:tcPr>
            <w:tcW w:w="160" w:type="dxa"/>
            <w:vAlign w:val="bottom"/>
            <w:tcBorders>
              <w:bottom w:val="single" w:sz="8" w:color="002F4D"/>
            </w:tcBorders>
          </w:tcPr>
          <w:p>
            <w:pPr>
              <w:spacing w:after="0"/>
              <w:rPr>
                <w:sz w:val="18"/>
                <w:szCs w:val="18"/>
                <w:color w:val="auto"/>
              </w:rPr>
            </w:pPr>
          </w:p>
        </w:tc>
        <w:tc>
          <w:tcPr>
            <w:tcW w:w="1220" w:type="dxa"/>
            <w:vAlign w:val="bottom"/>
            <w:tcBorders>
              <w:bottom w:val="single" w:sz="8" w:color="002F4D"/>
            </w:tcBorders>
          </w:tcPr>
          <w:p>
            <w:pPr>
              <w:jc w:val="right"/>
              <w:ind w:right="46"/>
              <w:spacing w:after="0" w:line="207" w:lineRule="exact"/>
              <w:rPr>
                <w:sz w:val="20"/>
                <w:szCs w:val="20"/>
                <w:color w:val="auto"/>
              </w:rPr>
            </w:pPr>
            <w:r>
              <w:rPr>
                <w:rFonts w:ascii="Arial" w:cs="Arial" w:eastAsia="Arial" w:hAnsi="Arial"/>
                <w:sz w:val="15"/>
                <w:szCs w:val="15"/>
                <w:color w:val="auto"/>
              </w:rPr>
              <w:t>3,264</w:t>
            </w:r>
            <w:r>
              <w:rPr>
                <w:rFonts w:ascii="Arial" w:cs="Arial" w:eastAsia="Arial" w:hAnsi="Arial"/>
                <w:sz w:val="24"/>
                <w:szCs w:val="24"/>
                <w:color w:val="auto"/>
                <w:vertAlign w:val="superscript"/>
              </w:rPr>
              <w:t>(17)</w:t>
            </w:r>
          </w:p>
        </w:tc>
        <w:tc>
          <w:tcPr>
            <w:tcW w:w="94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492,113</w:t>
            </w:r>
          </w:p>
        </w:tc>
        <w:tc>
          <w:tcPr>
            <w:tcW w:w="1220" w:type="dxa"/>
            <w:vAlign w:val="bottom"/>
            <w:tcBorders>
              <w:bottom w:val="single" w:sz="8" w:color="002F4D"/>
            </w:tcBorders>
          </w:tcPr>
          <w:p>
            <w:pPr>
              <w:jc w:val="right"/>
              <w:spacing w:after="0" w:line="207" w:lineRule="exact"/>
              <w:rPr>
                <w:sz w:val="20"/>
                <w:szCs w:val="20"/>
                <w:color w:val="auto"/>
              </w:rPr>
            </w:pPr>
            <w:r>
              <w:rPr>
                <w:rFonts w:ascii="Arial" w:cs="Arial" w:eastAsia="Arial" w:hAnsi="Arial"/>
                <w:sz w:val="15"/>
                <w:szCs w:val="15"/>
                <w:color w:val="auto"/>
              </w:rPr>
              <w:t>6,527</w:t>
            </w:r>
            <w:r>
              <w:rPr>
                <w:rFonts w:ascii="Arial" w:cs="Arial" w:eastAsia="Arial" w:hAnsi="Arial"/>
                <w:sz w:val="24"/>
                <w:szCs w:val="24"/>
                <w:color w:val="auto"/>
                <w:vertAlign w:val="superscript"/>
              </w:rPr>
              <w:t>(17)</w:t>
            </w:r>
          </w:p>
        </w:tc>
        <w:tc>
          <w:tcPr>
            <w:tcW w:w="10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984,076</w:t>
            </w:r>
          </w:p>
        </w:tc>
      </w:tr>
    </w:tbl>
    <w:p>
      <w:pPr>
        <w:spacing w:after="0" w:line="56" w:lineRule="exact"/>
        <w:rPr>
          <w:sz w:val="20"/>
          <w:szCs w:val="20"/>
          <w:color w:val="auto"/>
        </w:rPr>
      </w:pPr>
    </w:p>
    <w:p>
      <w:pPr>
        <w:jc w:val="both"/>
        <w:ind w:left="300" w:hanging="299"/>
        <w:spacing w:after="0" w:line="264" w:lineRule="auto"/>
        <w:tabs>
          <w:tab w:leader="none" w:pos="3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This column reflects time-based RSUs awarded to our NEOs. This column also reflects PSUs that were outstanding at fiscal year end for which the performance period completed on January 3, 2026 based on their actual performance. Market value is computed by multiplying the total number of shares subject to the award by the closing price of our common stock of $150.77 per share on January 2, 2026, our last trading day of fiscal year 2025.</w:t>
      </w:r>
    </w:p>
    <w:p>
      <w:pPr>
        <w:spacing w:after="0" w:line="11" w:lineRule="exact"/>
        <w:rPr>
          <w:rFonts w:ascii="Arial" w:cs="Arial" w:eastAsia="Arial" w:hAnsi="Arial"/>
          <w:sz w:val="13"/>
          <w:szCs w:val="13"/>
          <w:color w:val="auto"/>
        </w:rPr>
      </w:pPr>
    </w:p>
    <w:p>
      <w:pPr>
        <w:jc w:val="both"/>
        <w:ind w:left="300" w:hanging="299"/>
        <w:spacing w:after="0" w:line="264" w:lineRule="auto"/>
        <w:tabs>
          <w:tab w:leader="none" w:pos="3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This column reflects performance-based PSUs awarded to our NEOs. Market value is computed by multiplying the total number of shares subject to the award as reported in the column immediately to the left by the closing price of our common stock of $150.77 per share on January 2, 2026. The PSUs included in in this column and the column immediately to the left are included assuming target performance levels, because performance for such PSUs was tracking between threshold and target performance as of January 3, 2026.</w:t>
      </w:r>
    </w:p>
    <w:p>
      <w:pPr>
        <w:spacing w:after="0" w:line="11" w:lineRule="exact"/>
        <w:rPr>
          <w:rFonts w:ascii="Arial" w:cs="Arial" w:eastAsia="Arial" w:hAnsi="Arial"/>
          <w:sz w:val="13"/>
          <w:szCs w:val="13"/>
          <w:color w:val="auto"/>
        </w:rPr>
      </w:pPr>
    </w:p>
    <w:p>
      <w:pPr>
        <w:jc w:val="both"/>
        <w:ind w:left="300" w:hanging="299"/>
        <w:spacing w:after="0" w:line="257" w:lineRule="auto"/>
        <w:tabs>
          <w:tab w:leader="none" w:pos="3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On August 9, 2023, Mr. FitzGerald was awarded (i) 27,838 target number of PSUs that included potential for maximum vesting of 72,378 PSUs, and (ii) 13,919 RSUs. The RSUs are scheduled to vest in 1/3 increments on each of March 1, 2024, March 1, 2025 and March 1, 2026. 4,639 RSUs vested on each of March 1, 2024 and March 1, 2025. The PSU component of the award provides that shares may be earned based on the achievement of Adjusted EPS growth and EV growth per share performance targets with respect to the January 1, 2023 to December 27, 2025 performance period.</w:t>
      </w:r>
    </w:p>
    <w:p>
      <w:pPr>
        <w:spacing w:after="0" w:line="16" w:lineRule="exact"/>
        <w:rPr>
          <w:rFonts w:ascii="Arial" w:cs="Arial" w:eastAsia="Arial" w:hAnsi="Arial"/>
          <w:sz w:val="13"/>
          <w:szCs w:val="13"/>
          <w:color w:val="auto"/>
        </w:rPr>
      </w:pPr>
    </w:p>
    <w:p>
      <w:pPr>
        <w:jc w:val="both"/>
        <w:ind w:left="300" w:hanging="299"/>
        <w:spacing w:after="0" w:line="259" w:lineRule="auto"/>
        <w:tabs>
          <w:tab w:leader="none" w:pos="3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On May 14, 2024, Mr. FitzGerald was awarded (i) 30,898 target number of PSUs that included potential for maximum vesting of 80,336 PSUs, and (ii) 15,449 RSUs. The RSUs are scheduled to vest in 1/3 increments on each of March 1, 2025, March 1, 2026 and March 1, 2027. 5,149 RSUs vested on March 1, 2025. The PSU component of the award provides that shares may be earned based on the achievement of Adjusted EPS growth and EV growth per share performance targets with respect to the December 31, 2023 to January 2, 2027 performance period.</w:t>
      </w:r>
    </w:p>
    <w:p>
      <w:pPr>
        <w:spacing w:after="0" w:line="172" w:lineRule="exact"/>
        <w:rPr>
          <w:rFonts w:ascii="Arial" w:cs="Arial" w:eastAsia="Arial" w:hAnsi="Arial"/>
          <w:sz w:val="13"/>
          <w:szCs w:val="13"/>
          <w:color w:val="auto"/>
        </w:rPr>
      </w:pPr>
    </w:p>
    <w:p>
      <w:pPr>
        <w:jc w:val="both"/>
        <w:ind w:left="300" w:hanging="299"/>
        <w:spacing w:after="0" w:line="257" w:lineRule="auto"/>
        <w:tabs>
          <w:tab w:leader="none" w:pos="3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On May 13, 2025, Mr. FitzGerald was awarded (i) 29,086 target number of PSUs that included potential for maximum vesting of 75,264 PSUs, and (ii) 14,544 RSUs. The RSUs are scheduled to vest in 1/3 increments on each of March 1, 2026, March 1, 2027, and March 1, 2028. The PSU component of the award provides that shares may be earned based on the achievement of Adjusted EPS growth and Return on Invested Capital performance targets with respect to the December 29, 2024 to January 1, 2028 performance period, subject to a TSR modifier for the three year performance period, and is scheduled to vest in the first quarter of fiscal year 2028.</w:t>
      </w:r>
    </w:p>
    <w:p>
      <w:pPr>
        <w:spacing w:after="0" w:line="16" w:lineRule="exact"/>
        <w:rPr>
          <w:rFonts w:ascii="Arial" w:cs="Arial" w:eastAsia="Arial" w:hAnsi="Arial"/>
          <w:sz w:val="13"/>
          <w:szCs w:val="13"/>
          <w:color w:val="auto"/>
        </w:rPr>
      </w:pPr>
    </w:p>
    <w:p>
      <w:pPr>
        <w:jc w:val="both"/>
        <w:ind w:left="300" w:hanging="299"/>
        <w:spacing w:after="0" w:line="257" w:lineRule="auto"/>
        <w:tabs>
          <w:tab w:leader="none" w:pos="3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On August 9, 2023, Mr. Mittelman was awarded (i) 7,922 target number of PSUs that included potential for maximum vesting of 20,598 PSUs, and (ii) 3,960 RSUs. The RSUs are scheduled to vest in 1/3 increments on each of March 1, 2024, March 1, 2025 and March 1, 2026. 1,320 RSUs vested on each of March 1, 2024 and March 1, 2025. The PSU component of the award provides that shares may be earned based on the achievement of Adjusted EPS growth and EV growth per share performance targets with respect to the January 1, 2023 to December 27, 2025 performance period.</w:t>
      </w:r>
    </w:p>
    <w:p>
      <w:pPr>
        <w:spacing w:after="0" w:line="16" w:lineRule="exact"/>
        <w:rPr>
          <w:rFonts w:ascii="Arial" w:cs="Arial" w:eastAsia="Arial" w:hAnsi="Arial"/>
          <w:sz w:val="13"/>
          <w:szCs w:val="13"/>
          <w:color w:val="auto"/>
        </w:rPr>
      </w:pPr>
    </w:p>
    <w:p>
      <w:pPr>
        <w:jc w:val="both"/>
        <w:ind w:left="300" w:hanging="299"/>
        <w:spacing w:after="0" w:line="259" w:lineRule="auto"/>
        <w:tabs>
          <w:tab w:leader="none" w:pos="3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On May 14, 2024, Mr. Mittelman was awarded (i) 9,246 target number of PSUs that included potential for maximum vesting of 24,040 PSUs, and (ii) 4,622 RSUs. The RSUs are scheduled to vest in 1/3 increments on each of March 1, 2025, March 1, 2026 and March 1, 2027. 1,540 RSUs vested on March 1, 2025. The PSU component of the award provides that shares may be earned based on the achievement of Adjusted EPS growth and EV growth per share performance targets with respect to the December 31, 2023 to January 2, 2027 performance period.</w:t>
      </w:r>
    </w:p>
    <w:p>
      <w:pPr>
        <w:spacing w:after="0" w:line="294" w:lineRule="exact"/>
        <w:rPr>
          <w:sz w:val="20"/>
          <w:szCs w:val="20"/>
          <w:color w:val="auto"/>
        </w:rPr>
      </w:pPr>
    </w:p>
    <w:p>
      <w:pPr>
        <w:ind w:left="8960"/>
        <w:spacing w:after="0"/>
        <w:tabs>
          <w:tab w:leader="none" w:pos="1106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8" w:lineRule="exact"/>
        <w:rPr>
          <w:sz w:val="20"/>
          <w:szCs w:val="20"/>
          <w:color w:val="auto"/>
        </w:rPr>
      </w:pPr>
    </w:p>
    <w:p>
      <w:pPr>
        <w:jc w:val="both"/>
        <w:ind w:left="300" w:hanging="299"/>
        <w:spacing w:after="0" w:line="257" w:lineRule="auto"/>
        <w:tabs>
          <w:tab w:leader="none" w:pos="3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On May 13, 2025, Mr. Mittelman was awarded (i) 8,703 target number of PSUs that included potential for maximum vesting of 22,628 PSUs, and (ii) 4,352 RSUs. The RSUs are scheduled to vest in 1/3 increments on each of March 1, 2026, March 1, 2027, and March 1, 2028. The PSU component of the award provides that shares may be earned based on the achievement of Adjusted EPS growth and Return on Invested Capital performance targets with respect to the December 29, 2024 to January 1, 2028 performance period, subject to a TSR modifier for the three year performance period, and is scheduled to vest in the first quarter of fiscal year 2028.</w:t>
      </w:r>
    </w:p>
    <w:p>
      <w:pPr>
        <w:spacing w:after="0" w:line="16" w:lineRule="exact"/>
        <w:rPr>
          <w:rFonts w:ascii="Arial" w:cs="Arial" w:eastAsia="Arial" w:hAnsi="Arial"/>
          <w:sz w:val="13"/>
          <w:szCs w:val="13"/>
          <w:color w:val="auto"/>
        </w:rPr>
      </w:pPr>
    </w:p>
    <w:p>
      <w:pPr>
        <w:jc w:val="both"/>
        <w:ind w:left="300" w:hanging="299"/>
        <w:spacing w:after="0" w:line="257" w:lineRule="auto"/>
        <w:tabs>
          <w:tab w:leader="none" w:pos="3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On August 9, 2023, Mr. Pool was awarded (i) 10,864 target number of PSUs that included potential for maximum vesting of 28,246 PSUs, and (ii) 5,431 RSUs. The RSUs are scheduled to vest in 1/3 increments on each of March 1, 2024, March 1, 2025 and March 1, 2026. 1,810 RSUs vested on each of March 1, 2024 and March 1, 2025. The PSU component of the award provides that shares may be earned based on the achievement of Adjusted EPS growth and EV growth per share performance targets with respect to the January 1, 2023 to December 27, 2025 performance period.</w:t>
      </w:r>
    </w:p>
    <w:p>
      <w:pPr>
        <w:spacing w:after="0" w:line="16" w:lineRule="exact"/>
        <w:rPr>
          <w:rFonts w:ascii="Arial" w:cs="Arial" w:eastAsia="Arial" w:hAnsi="Arial"/>
          <w:sz w:val="13"/>
          <w:szCs w:val="13"/>
          <w:color w:val="auto"/>
        </w:rPr>
      </w:pPr>
    </w:p>
    <w:p>
      <w:pPr>
        <w:jc w:val="both"/>
        <w:ind w:left="300" w:hanging="299"/>
        <w:spacing w:after="0" w:line="259" w:lineRule="auto"/>
        <w:tabs>
          <w:tab w:leader="none" w:pos="3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On May 14, 2024, Mr. Pool was awarded (i) 12,652 target number of PSUs that included potential for maximum vesting of 32,896 PSUs, and (ii) 6,325 RSUs. The RSUs are scheduled to vest in 1/3 increments on each of March 1, 2025, March 1, 2026 and March 1, 2027. 2,108 RSUs vested as on March 1, 2025. The PSU component of the award provides that shares may be earned based on the achievement of Adjusted EPS growth and EV growth per share performance targets with respect to the December 31, 2023 to January 2, 2027 performance period.</w:t>
      </w:r>
    </w:p>
    <w:p>
      <w:pPr>
        <w:spacing w:after="0" w:line="172" w:lineRule="exact"/>
        <w:rPr>
          <w:rFonts w:ascii="Arial" w:cs="Arial" w:eastAsia="Arial" w:hAnsi="Arial"/>
          <w:sz w:val="13"/>
          <w:szCs w:val="13"/>
          <w:color w:val="auto"/>
        </w:rPr>
      </w:pPr>
    </w:p>
    <w:p>
      <w:pPr>
        <w:jc w:val="both"/>
        <w:ind w:left="300" w:hanging="299"/>
        <w:spacing w:after="0" w:line="257" w:lineRule="auto"/>
        <w:tabs>
          <w:tab w:leader="none" w:pos="3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On May 13, 2025, Mr. Pool was awarded (i) 11,910 target number of PSUs that included potential for maximum vesting of 30,966 PSUs, and (ii) 5,955 RSUs. The RSUs are scheduled to vest in 1/3 increments on each of March 1, 2026, March 1, 2027, and March 1, 2028. The PSU component of the award provides that shares may be earned based on the achievement of Adjusted EPS growth and Return on Invested Capital performance targets with respect to the December 29, 2024 to January 1, 2028 performance period, subject to a TSR modifier for the three year performance period, and is scheduled to vest in the first quarter of fiscal year 2028.</w:t>
      </w:r>
    </w:p>
    <w:p>
      <w:pPr>
        <w:spacing w:after="0" w:line="16" w:lineRule="exact"/>
        <w:rPr>
          <w:rFonts w:ascii="Arial" w:cs="Arial" w:eastAsia="Arial" w:hAnsi="Arial"/>
          <w:sz w:val="13"/>
          <w:szCs w:val="13"/>
          <w:color w:val="auto"/>
        </w:rPr>
      </w:pPr>
    </w:p>
    <w:p>
      <w:pPr>
        <w:jc w:val="both"/>
        <w:ind w:left="300" w:hanging="299"/>
        <w:spacing w:after="0" w:line="257" w:lineRule="auto"/>
        <w:tabs>
          <w:tab w:leader="none" w:pos="3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On August 9, 2023, Mr. Spittle was awarded (i) 10,864 target number of PSUs that included potential for maximum vesting of 28,246 PSUs, and (ii) 5,431 RSUs. The RSUs are scheduled to vest in 1/3 increments on each of March 1, 2024, March 1, 2025 and March 1, 2026. 1,810 RSUs vested on each of March 1, 2024 and March 1, 2025. The PSU component of the award provides that shares may be earned based on the achievement of Adjusted EPS growth and EV growth per share performance targets with respect to the January 1, 2023 to December 27, 2025 performance period.</w:t>
      </w:r>
    </w:p>
    <w:p>
      <w:pPr>
        <w:spacing w:after="0" w:line="16" w:lineRule="exact"/>
        <w:rPr>
          <w:rFonts w:ascii="Arial" w:cs="Arial" w:eastAsia="Arial" w:hAnsi="Arial"/>
          <w:sz w:val="13"/>
          <w:szCs w:val="13"/>
          <w:color w:val="auto"/>
        </w:rPr>
      </w:pPr>
    </w:p>
    <w:p>
      <w:pPr>
        <w:jc w:val="both"/>
        <w:ind w:left="300" w:hanging="299"/>
        <w:spacing w:after="0" w:line="259" w:lineRule="auto"/>
        <w:tabs>
          <w:tab w:leader="none" w:pos="3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On May 14, 2024, Mr. Spittle was awarded (i) 12,652 target number of PSUs that included potential for maximum vesting of 32,896 PSUs, and (ii) 6,325 RSUs. The RSUs are scheduled to vest in 1/3 increments on each of March 1, 2025, March 1, 2026 and March 1, 2027. 2,108 RSUs vested on March 1, 2025. The PSU component of the award provides that shares may be earned based on the achievement of Adjusted EPS growth and EV growth per share performance targets with respect to the December 31, 2023 to January 2, 2027 performance period.</w:t>
      </w:r>
    </w:p>
    <w:p>
      <w:pPr>
        <w:spacing w:after="0" w:line="172" w:lineRule="exact"/>
        <w:rPr>
          <w:rFonts w:ascii="Arial" w:cs="Arial" w:eastAsia="Arial" w:hAnsi="Arial"/>
          <w:sz w:val="13"/>
          <w:szCs w:val="13"/>
          <w:color w:val="auto"/>
        </w:rPr>
      </w:pPr>
    </w:p>
    <w:p>
      <w:pPr>
        <w:jc w:val="both"/>
        <w:ind w:left="300" w:hanging="299"/>
        <w:spacing w:after="0" w:line="257" w:lineRule="auto"/>
        <w:tabs>
          <w:tab w:leader="none" w:pos="3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On May 13, 2025, Mr. Spittle was awarded (i) 11,910 target number of PSUs that included potential for maximum vesting of 30,966 PSUs, and (ii) 5,955 RSUs. The RSUs are scheduled to vest in 1/3 increments on each of March 1, 2026, March 1, 2027, and March 1, 2028. The PSU component of the award provides that shares may be earned based on the achievement of Adjusted EPS growth and Return on Invested Capital performance targets with respect to the December 29, 2024 to January 1, 2028 performance period, subject to a TSR modifier for the three year performance period, and is scheduled to vest in the first quarter of fiscal year 2028.</w:t>
      </w:r>
    </w:p>
    <w:p>
      <w:pPr>
        <w:spacing w:after="0" w:line="16" w:lineRule="exact"/>
        <w:rPr>
          <w:rFonts w:ascii="Arial" w:cs="Arial" w:eastAsia="Arial" w:hAnsi="Arial"/>
          <w:sz w:val="13"/>
          <w:szCs w:val="13"/>
          <w:color w:val="auto"/>
        </w:rPr>
      </w:pPr>
    </w:p>
    <w:p>
      <w:pPr>
        <w:jc w:val="both"/>
        <w:ind w:left="300" w:hanging="299"/>
        <w:spacing w:after="0" w:line="257" w:lineRule="auto"/>
        <w:tabs>
          <w:tab w:leader="none" w:pos="3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On August 9, 2023, Mr. Fuchsen was awarded (i) 6,166 target number of PSUs that included potential for maximum vesting of 16,032 PSUs, and (ii) 3,084 RSUs. The RSUs are scheduled to vest in 1/3 increments on each of March 1, 2024, March 1, 2025 and March 1, 2026. 1,028 RSUs vested on each of March 1, 2024 and March 1, 2025. The PSU component of the award provides that shares may be earned based on the achievement of Adjusted EPS growth and EV growth per share performance targets with respect to the January 1, 2023 to December 27, 2025 performance period.</w:t>
      </w:r>
    </w:p>
    <w:p>
      <w:pPr>
        <w:spacing w:after="0" w:line="16" w:lineRule="exact"/>
        <w:rPr>
          <w:rFonts w:ascii="Arial" w:cs="Arial" w:eastAsia="Arial" w:hAnsi="Arial"/>
          <w:sz w:val="13"/>
          <w:szCs w:val="13"/>
          <w:color w:val="auto"/>
        </w:rPr>
      </w:pPr>
    </w:p>
    <w:p>
      <w:pPr>
        <w:jc w:val="both"/>
        <w:ind w:left="300" w:hanging="299"/>
        <w:spacing w:after="0" w:line="259" w:lineRule="auto"/>
        <w:tabs>
          <w:tab w:leader="none" w:pos="3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On May 14, 2024, Mr. Fuchsen was awarded (i) 6,934 target number of PSUs that included potential for maximum vesting of 18,030 PSUs, and (ii) 3,467 RSUs. The RSUs are scheduled to vest in 1/3 increments on each of March 1, 2025, March 1, 2026 and March 1, 2027. 1,155 RSUs vested on March 1, 2025. The PSU component of the award provides that shares may be earned based on the achievement of Adjusted EPS growth and EV growth per share performance targets with respect to the December 31, 2023 to January 2, 2027 performance period.</w:t>
      </w:r>
    </w:p>
    <w:p>
      <w:pPr>
        <w:spacing w:after="0" w:line="172" w:lineRule="exact"/>
        <w:rPr>
          <w:rFonts w:ascii="Arial" w:cs="Arial" w:eastAsia="Arial" w:hAnsi="Arial"/>
          <w:sz w:val="13"/>
          <w:szCs w:val="13"/>
          <w:color w:val="auto"/>
        </w:rPr>
      </w:pPr>
    </w:p>
    <w:p>
      <w:pPr>
        <w:jc w:val="both"/>
        <w:ind w:left="300" w:hanging="299"/>
        <w:spacing w:after="0" w:line="257" w:lineRule="auto"/>
        <w:tabs>
          <w:tab w:leader="none" w:pos="3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On May 13, 2025, Mr. Fuchsen was awarded (i) 6,527 target number of PSUs that included potential for maximum vesting of 16,971 PSUs, and (ii) 3,264 RSUs. The RSUs are scheduled to vest in 1/3 increments on each of March 1, 2026, March 1, 2027, and March 1, 2028. The PSU component of the award provides that shares may be earned based on the achievement of Adjusted EPS growth and Return on Invested Capital performance targets with respect to the December 29, 2024 to January 1, 2028 performance period, subject to a TSR modifier for the three year performance period, and is scheduled to vest in the first quarter of fiscal year 2028.</w:t>
      </w:r>
    </w:p>
    <w:p>
      <w:pPr>
        <w:spacing w:after="0" w:line="13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48" w:name="page49"/>
    <w:bookmarkEnd w:id="48"/>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5"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Stock Vested for Fiscal Year 2025</w:t>
      </w:r>
    </w:p>
    <w:p>
      <w:pPr>
        <w:spacing w:after="0" w:line="187"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following table sets forth the aggregate amounts received or realized in connection with the vesting of stock awards under the LTIP during the 2025 fiscal year by each of the Named Executive Officers. There were no stock option exercises by the Named Executive Officers during the 2025 fiscal year.</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920" w:type="dxa"/>
            <w:vAlign w:val="bottom"/>
          </w:tcPr>
          <w:p>
            <w:pPr>
              <w:spacing w:after="0"/>
              <w:rPr>
                <w:sz w:val="15"/>
                <w:szCs w:val="15"/>
                <w:color w:val="auto"/>
              </w:rPr>
            </w:pPr>
          </w:p>
        </w:tc>
        <w:tc>
          <w:tcPr>
            <w:tcW w:w="4820" w:type="dxa"/>
            <w:vAlign w:val="bottom"/>
          </w:tcPr>
          <w:p>
            <w:pPr>
              <w:jc w:val="right"/>
              <w:ind w:right="84"/>
              <w:spacing w:after="0"/>
              <w:rPr>
                <w:sz w:val="20"/>
                <w:szCs w:val="20"/>
                <w:color w:val="auto"/>
              </w:rPr>
            </w:pPr>
            <w:r>
              <w:rPr>
                <w:rFonts w:ascii="Arial" w:cs="Arial" w:eastAsia="Arial" w:hAnsi="Arial"/>
                <w:sz w:val="15"/>
                <w:szCs w:val="15"/>
                <w:b w:val="1"/>
                <w:bCs w:val="1"/>
                <w:color w:val="auto"/>
              </w:rPr>
              <w:t>Number of Shares</w:t>
            </w:r>
          </w:p>
        </w:tc>
        <w:tc>
          <w:tcPr>
            <w:tcW w:w="1500" w:type="dxa"/>
            <w:vAlign w:val="bottom"/>
          </w:tcPr>
          <w:p>
            <w:pPr>
              <w:jc w:val="right"/>
              <w:spacing w:after="0"/>
              <w:rPr>
                <w:sz w:val="20"/>
                <w:szCs w:val="20"/>
                <w:color w:val="auto"/>
              </w:rPr>
            </w:pPr>
            <w:r>
              <w:rPr>
                <w:rFonts w:ascii="Arial" w:cs="Arial" w:eastAsia="Arial" w:hAnsi="Arial"/>
                <w:sz w:val="15"/>
                <w:szCs w:val="15"/>
                <w:b w:val="1"/>
                <w:bCs w:val="1"/>
                <w:color w:val="auto"/>
              </w:rPr>
              <w:t>Value Realized on</w:t>
            </w:r>
          </w:p>
        </w:tc>
      </w:tr>
      <w:tr>
        <w:trPr>
          <w:trHeight w:val="177"/>
        </w:trPr>
        <w:tc>
          <w:tcPr>
            <w:tcW w:w="4920" w:type="dxa"/>
            <w:vAlign w:val="bottom"/>
          </w:tcPr>
          <w:p>
            <w:pPr>
              <w:spacing w:after="0"/>
              <w:rPr>
                <w:sz w:val="15"/>
                <w:szCs w:val="15"/>
                <w:color w:val="auto"/>
              </w:rPr>
            </w:pPr>
          </w:p>
        </w:tc>
        <w:tc>
          <w:tcPr>
            <w:tcW w:w="4820" w:type="dxa"/>
            <w:vAlign w:val="bottom"/>
          </w:tcPr>
          <w:p>
            <w:pPr>
              <w:jc w:val="right"/>
              <w:ind w:right="84"/>
              <w:spacing w:after="0"/>
              <w:rPr>
                <w:sz w:val="20"/>
                <w:szCs w:val="20"/>
                <w:color w:val="auto"/>
              </w:rPr>
            </w:pPr>
            <w:r>
              <w:rPr>
                <w:rFonts w:ascii="Arial" w:cs="Arial" w:eastAsia="Arial" w:hAnsi="Arial"/>
                <w:sz w:val="15"/>
                <w:szCs w:val="15"/>
                <w:b w:val="1"/>
                <w:bCs w:val="1"/>
                <w:color w:val="auto"/>
              </w:rPr>
              <w:t>Acquired on Vesting</w:t>
            </w:r>
          </w:p>
        </w:tc>
        <w:tc>
          <w:tcPr>
            <w:tcW w:w="1500" w:type="dxa"/>
            <w:vAlign w:val="bottom"/>
          </w:tcPr>
          <w:p>
            <w:pPr>
              <w:jc w:val="right"/>
              <w:spacing w:after="0"/>
              <w:rPr>
                <w:sz w:val="20"/>
                <w:szCs w:val="20"/>
                <w:color w:val="auto"/>
              </w:rPr>
            </w:pPr>
            <w:r>
              <w:rPr>
                <w:rFonts w:ascii="Arial" w:cs="Arial" w:eastAsia="Arial" w:hAnsi="Arial"/>
                <w:sz w:val="15"/>
                <w:szCs w:val="15"/>
                <w:b w:val="1"/>
                <w:bCs w:val="1"/>
                <w:color w:val="auto"/>
              </w:rPr>
              <w:t>Vesting</w:t>
            </w:r>
          </w:p>
        </w:tc>
      </w:tr>
      <w:tr>
        <w:trPr>
          <w:trHeight w:val="189"/>
        </w:trPr>
        <w:tc>
          <w:tcPr>
            <w:tcW w:w="492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auto"/>
              </w:rPr>
              <w:t>Name</w:t>
            </w:r>
          </w:p>
        </w:tc>
        <w:tc>
          <w:tcPr>
            <w:tcW w:w="4820" w:type="dxa"/>
            <w:vAlign w:val="bottom"/>
            <w:tcBorders>
              <w:bottom w:val="single" w:sz="8" w:color="002F4D"/>
            </w:tcBorders>
          </w:tcPr>
          <w:p>
            <w:pPr>
              <w:jc w:val="right"/>
              <w:ind w:right="84"/>
              <w:spacing w:after="0"/>
              <w:rPr>
                <w:sz w:val="20"/>
                <w:szCs w:val="20"/>
                <w:color w:val="auto"/>
              </w:rPr>
            </w:pPr>
            <w:r>
              <w:rPr>
                <w:rFonts w:ascii="Arial" w:cs="Arial" w:eastAsia="Arial" w:hAnsi="Arial"/>
                <w:sz w:val="15"/>
                <w:szCs w:val="15"/>
                <w:b w:val="1"/>
                <w:bCs w:val="1"/>
                <w:color w:val="auto"/>
              </w:rPr>
              <w:t>(#)</w:t>
            </w:r>
          </w:p>
        </w:tc>
        <w:tc>
          <w:tcPr>
            <w:tcW w:w="1500" w:type="dxa"/>
            <w:vAlign w:val="bottom"/>
            <w:tcBorders>
              <w:bottom w:val="single" w:sz="8" w:color="002F4D"/>
            </w:tcBorders>
          </w:tcPr>
          <w:p>
            <w:pPr>
              <w:jc w:val="right"/>
              <w:spacing w:after="0"/>
              <w:rPr>
                <w:sz w:val="20"/>
                <w:szCs w:val="20"/>
                <w:color w:val="auto"/>
              </w:rPr>
            </w:pPr>
            <w:r>
              <w:rPr>
                <w:rFonts w:ascii="Arial" w:cs="Arial" w:eastAsia="Arial" w:hAnsi="Arial"/>
                <w:sz w:val="15"/>
                <w:szCs w:val="15"/>
                <w:b w:val="1"/>
                <w:bCs w:val="1"/>
                <w:color w:val="auto"/>
              </w:rPr>
              <w:t>($)</w:t>
            </w:r>
          </w:p>
        </w:tc>
      </w:tr>
      <w:tr>
        <w:trPr>
          <w:trHeight w:val="207"/>
        </w:trPr>
        <w:tc>
          <w:tcPr>
            <w:tcW w:w="4920" w:type="dxa"/>
            <w:vAlign w:val="bottom"/>
            <w:tcBorders>
              <w:bottom w:val="single" w:sz="8" w:color="002F4D"/>
            </w:tcBorders>
          </w:tcPr>
          <w:p>
            <w:pPr>
              <w:ind w:left="60"/>
              <w:spacing w:after="0" w:line="207" w:lineRule="exact"/>
              <w:rPr>
                <w:sz w:val="20"/>
                <w:szCs w:val="20"/>
                <w:color w:val="auto"/>
              </w:rPr>
            </w:pPr>
            <w:r>
              <w:rPr>
                <w:rFonts w:ascii="Arial" w:cs="Arial" w:eastAsia="Arial" w:hAnsi="Arial"/>
                <w:sz w:val="15"/>
                <w:szCs w:val="15"/>
                <w:b w:val="1"/>
                <w:bCs w:val="1"/>
                <w:color w:val="auto"/>
              </w:rPr>
              <w:t>Timothy J. FitzGerald</w:t>
            </w:r>
            <w:r>
              <w:rPr>
                <w:rFonts w:ascii="Arial" w:cs="Arial" w:eastAsia="Arial" w:hAnsi="Arial"/>
                <w:sz w:val="24"/>
                <w:szCs w:val="24"/>
                <w:b w:val="1"/>
                <w:bCs w:val="1"/>
                <w:color w:val="auto"/>
                <w:vertAlign w:val="superscript"/>
              </w:rPr>
              <w:t>(1)</w:t>
            </w:r>
          </w:p>
        </w:tc>
        <w:tc>
          <w:tcPr>
            <w:tcW w:w="4820" w:type="dxa"/>
            <w:vAlign w:val="bottom"/>
            <w:tcBorders>
              <w:bottom w:val="single" w:sz="8" w:color="002F4D"/>
            </w:tcBorders>
          </w:tcPr>
          <w:p>
            <w:pPr>
              <w:jc w:val="right"/>
              <w:ind w:right="84"/>
              <w:spacing w:after="0"/>
              <w:rPr>
                <w:sz w:val="20"/>
                <w:szCs w:val="20"/>
                <w:color w:val="auto"/>
              </w:rPr>
            </w:pPr>
            <w:r>
              <w:rPr>
                <w:rFonts w:ascii="Arial" w:cs="Arial" w:eastAsia="Arial" w:hAnsi="Arial"/>
                <w:sz w:val="15"/>
                <w:szCs w:val="15"/>
                <w:color w:val="auto"/>
              </w:rPr>
              <w:t>40,061</w:t>
            </w:r>
          </w:p>
        </w:tc>
        <w:tc>
          <w:tcPr>
            <w:tcW w:w="150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6,696,037</w:t>
            </w:r>
          </w:p>
        </w:tc>
      </w:tr>
      <w:tr>
        <w:trPr>
          <w:trHeight w:val="207"/>
        </w:trPr>
        <w:tc>
          <w:tcPr>
            <w:tcW w:w="4920" w:type="dxa"/>
            <w:vAlign w:val="bottom"/>
            <w:tcBorders>
              <w:bottom w:val="single" w:sz="8" w:color="002F4D"/>
            </w:tcBorders>
          </w:tcPr>
          <w:p>
            <w:pPr>
              <w:ind w:left="60"/>
              <w:spacing w:after="0" w:line="207" w:lineRule="exact"/>
              <w:rPr>
                <w:sz w:val="20"/>
                <w:szCs w:val="20"/>
                <w:color w:val="auto"/>
              </w:rPr>
            </w:pPr>
            <w:r>
              <w:rPr>
                <w:rFonts w:ascii="Arial" w:cs="Arial" w:eastAsia="Arial" w:hAnsi="Arial"/>
                <w:sz w:val="15"/>
                <w:szCs w:val="15"/>
                <w:b w:val="1"/>
                <w:bCs w:val="1"/>
                <w:color w:val="auto"/>
              </w:rPr>
              <w:t>Bryan E. Mittelman</w:t>
            </w:r>
            <w:r>
              <w:rPr>
                <w:rFonts w:ascii="Arial" w:cs="Arial" w:eastAsia="Arial" w:hAnsi="Arial"/>
                <w:sz w:val="24"/>
                <w:szCs w:val="24"/>
                <w:b w:val="1"/>
                <w:bCs w:val="1"/>
                <w:color w:val="auto"/>
                <w:vertAlign w:val="superscript"/>
              </w:rPr>
              <w:t>(2)</w:t>
            </w:r>
          </w:p>
        </w:tc>
        <w:tc>
          <w:tcPr>
            <w:tcW w:w="4820" w:type="dxa"/>
            <w:vAlign w:val="bottom"/>
            <w:tcBorders>
              <w:bottom w:val="single" w:sz="8" w:color="002F4D"/>
            </w:tcBorders>
          </w:tcPr>
          <w:p>
            <w:pPr>
              <w:jc w:val="right"/>
              <w:ind w:right="84"/>
              <w:spacing w:after="0"/>
              <w:rPr>
                <w:sz w:val="20"/>
                <w:szCs w:val="20"/>
                <w:color w:val="auto"/>
              </w:rPr>
            </w:pPr>
            <w:r>
              <w:rPr>
                <w:rFonts w:ascii="Arial" w:cs="Arial" w:eastAsia="Arial" w:hAnsi="Arial"/>
                <w:sz w:val="15"/>
                <w:szCs w:val="15"/>
                <w:color w:val="auto"/>
              </w:rPr>
              <w:t>10,738</w:t>
            </w:r>
          </w:p>
        </w:tc>
        <w:tc>
          <w:tcPr>
            <w:tcW w:w="150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1,794,270</w:t>
            </w:r>
          </w:p>
        </w:tc>
      </w:tr>
      <w:tr>
        <w:trPr>
          <w:trHeight w:val="207"/>
        </w:trPr>
        <w:tc>
          <w:tcPr>
            <w:tcW w:w="4920" w:type="dxa"/>
            <w:vAlign w:val="bottom"/>
            <w:tcBorders>
              <w:bottom w:val="single" w:sz="8" w:color="002F4D"/>
            </w:tcBorders>
          </w:tcPr>
          <w:p>
            <w:pPr>
              <w:ind w:left="60"/>
              <w:spacing w:after="0" w:line="207" w:lineRule="exact"/>
              <w:rPr>
                <w:sz w:val="20"/>
                <w:szCs w:val="20"/>
                <w:color w:val="auto"/>
              </w:rPr>
            </w:pPr>
            <w:r>
              <w:rPr>
                <w:rFonts w:ascii="Arial" w:cs="Arial" w:eastAsia="Arial" w:hAnsi="Arial"/>
                <w:sz w:val="15"/>
                <w:szCs w:val="15"/>
                <w:b w:val="1"/>
                <w:bCs w:val="1"/>
                <w:color w:val="auto"/>
              </w:rPr>
              <w:t>James K. Pool III</w:t>
            </w:r>
            <w:r>
              <w:rPr>
                <w:rFonts w:ascii="Arial" w:cs="Arial" w:eastAsia="Arial" w:hAnsi="Arial"/>
                <w:sz w:val="24"/>
                <w:szCs w:val="24"/>
                <w:b w:val="1"/>
                <w:bCs w:val="1"/>
                <w:color w:val="auto"/>
                <w:vertAlign w:val="superscript"/>
              </w:rPr>
              <w:t>(3)</w:t>
            </w:r>
          </w:p>
        </w:tc>
        <w:tc>
          <w:tcPr>
            <w:tcW w:w="4820" w:type="dxa"/>
            <w:vAlign w:val="bottom"/>
            <w:tcBorders>
              <w:bottom w:val="single" w:sz="8" w:color="002F4D"/>
            </w:tcBorders>
          </w:tcPr>
          <w:p>
            <w:pPr>
              <w:jc w:val="right"/>
              <w:ind w:right="84"/>
              <w:spacing w:after="0"/>
              <w:rPr>
                <w:sz w:val="20"/>
                <w:szCs w:val="20"/>
                <w:color w:val="auto"/>
              </w:rPr>
            </w:pPr>
            <w:r>
              <w:rPr>
                <w:rFonts w:ascii="Arial" w:cs="Arial" w:eastAsia="Arial" w:hAnsi="Arial"/>
                <w:sz w:val="15"/>
                <w:szCs w:val="15"/>
                <w:color w:val="auto"/>
              </w:rPr>
              <w:t>13,764</w:t>
            </w:r>
          </w:p>
        </w:tc>
        <w:tc>
          <w:tcPr>
            <w:tcW w:w="150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2,299,322</w:t>
            </w:r>
          </w:p>
        </w:tc>
      </w:tr>
      <w:tr>
        <w:trPr>
          <w:trHeight w:val="207"/>
        </w:trPr>
        <w:tc>
          <w:tcPr>
            <w:tcW w:w="4920" w:type="dxa"/>
            <w:vAlign w:val="bottom"/>
            <w:tcBorders>
              <w:bottom w:val="single" w:sz="8" w:color="002F4D"/>
            </w:tcBorders>
          </w:tcPr>
          <w:p>
            <w:pPr>
              <w:ind w:left="60"/>
              <w:spacing w:after="0" w:line="207" w:lineRule="exact"/>
              <w:rPr>
                <w:sz w:val="20"/>
                <w:szCs w:val="20"/>
                <w:color w:val="auto"/>
              </w:rPr>
            </w:pPr>
            <w:r>
              <w:rPr>
                <w:rFonts w:ascii="Arial" w:cs="Arial" w:eastAsia="Arial" w:hAnsi="Arial"/>
                <w:sz w:val="15"/>
                <w:szCs w:val="15"/>
                <w:b w:val="1"/>
                <w:bCs w:val="1"/>
                <w:color w:val="auto"/>
              </w:rPr>
              <w:t>Steven P. Spittle</w:t>
            </w:r>
            <w:r>
              <w:rPr>
                <w:rFonts w:ascii="Arial" w:cs="Arial" w:eastAsia="Arial" w:hAnsi="Arial"/>
                <w:sz w:val="24"/>
                <w:szCs w:val="24"/>
                <w:b w:val="1"/>
                <w:bCs w:val="1"/>
                <w:color w:val="auto"/>
                <w:vertAlign w:val="superscript"/>
              </w:rPr>
              <w:t>(4)</w:t>
            </w:r>
          </w:p>
        </w:tc>
        <w:tc>
          <w:tcPr>
            <w:tcW w:w="4820" w:type="dxa"/>
            <w:vAlign w:val="bottom"/>
            <w:tcBorders>
              <w:bottom w:val="single" w:sz="8" w:color="002F4D"/>
            </w:tcBorders>
          </w:tcPr>
          <w:p>
            <w:pPr>
              <w:jc w:val="right"/>
              <w:ind w:right="84"/>
              <w:spacing w:after="0"/>
              <w:rPr>
                <w:sz w:val="20"/>
                <w:szCs w:val="20"/>
                <w:color w:val="auto"/>
              </w:rPr>
            </w:pPr>
            <w:r>
              <w:rPr>
                <w:rFonts w:ascii="Arial" w:cs="Arial" w:eastAsia="Arial" w:hAnsi="Arial"/>
                <w:sz w:val="15"/>
                <w:szCs w:val="15"/>
                <w:color w:val="auto"/>
              </w:rPr>
              <w:t>13,764</w:t>
            </w:r>
          </w:p>
        </w:tc>
        <w:tc>
          <w:tcPr>
            <w:tcW w:w="150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2,299,322</w:t>
            </w:r>
          </w:p>
        </w:tc>
      </w:tr>
      <w:tr>
        <w:trPr>
          <w:trHeight w:val="212"/>
        </w:trPr>
        <w:tc>
          <w:tcPr>
            <w:tcW w:w="4920" w:type="dxa"/>
            <w:vAlign w:val="bottom"/>
            <w:tcBorders>
              <w:bottom w:val="single" w:sz="8" w:color="002F4D"/>
            </w:tcBorders>
          </w:tcPr>
          <w:p>
            <w:pPr>
              <w:ind w:left="60"/>
              <w:spacing w:after="0" w:line="207" w:lineRule="exact"/>
              <w:rPr>
                <w:sz w:val="20"/>
                <w:szCs w:val="20"/>
                <w:color w:val="auto"/>
              </w:rPr>
            </w:pPr>
            <w:r>
              <w:rPr>
                <w:rFonts w:ascii="Arial" w:cs="Arial" w:eastAsia="Arial" w:hAnsi="Arial"/>
                <w:sz w:val="15"/>
                <w:szCs w:val="15"/>
                <w:b w:val="1"/>
                <w:bCs w:val="1"/>
                <w:color w:val="auto"/>
              </w:rPr>
              <w:t>Matthew R. Fuchsen</w:t>
            </w:r>
            <w:r>
              <w:rPr>
                <w:rFonts w:ascii="Arial" w:cs="Arial" w:eastAsia="Arial" w:hAnsi="Arial"/>
                <w:sz w:val="24"/>
                <w:szCs w:val="24"/>
                <w:b w:val="1"/>
                <w:bCs w:val="1"/>
                <w:color w:val="auto"/>
                <w:vertAlign w:val="superscript"/>
              </w:rPr>
              <w:t>(5)</w:t>
            </w:r>
          </w:p>
        </w:tc>
        <w:tc>
          <w:tcPr>
            <w:tcW w:w="4820" w:type="dxa"/>
            <w:vAlign w:val="bottom"/>
            <w:tcBorders>
              <w:bottom w:val="single" w:sz="8" w:color="002F4D"/>
            </w:tcBorders>
          </w:tcPr>
          <w:p>
            <w:pPr>
              <w:jc w:val="right"/>
              <w:ind w:right="84"/>
              <w:spacing w:after="0"/>
              <w:rPr>
                <w:sz w:val="20"/>
                <w:szCs w:val="20"/>
                <w:color w:val="auto"/>
              </w:rPr>
            </w:pPr>
            <w:r>
              <w:rPr>
                <w:rFonts w:ascii="Arial" w:cs="Arial" w:eastAsia="Arial" w:hAnsi="Arial"/>
                <w:sz w:val="15"/>
                <w:szCs w:val="15"/>
                <w:color w:val="auto"/>
              </w:rPr>
              <w:t>8,031</w:t>
            </w:r>
          </w:p>
        </w:tc>
        <w:tc>
          <w:tcPr>
            <w:tcW w:w="150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1,341,839</w:t>
            </w:r>
          </w:p>
        </w:tc>
      </w:tr>
    </w:tbl>
    <w:p>
      <w:pPr>
        <w:spacing w:after="0" w:line="43" w:lineRule="exact"/>
        <w:rPr>
          <w:sz w:val="20"/>
          <w:szCs w:val="20"/>
          <w:color w:val="auto"/>
        </w:rPr>
      </w:pPr>
    </w:p>
    <w:p>
      <w:pPr>
        <w:ind w:left="300" w:hanging="299"/>
        <w:spacing w:after="0" w:line="283" w:lineRule="auto"/>
        <w:tabs>
          <w:tab w:leader="none" w:pos="3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4,891 RSUs that were awarded on May 15, 2022 vested on March 1, 2025. 25,382 PSUs that were awarded on May 15, 2022 vested on February 24, 2025. 4,639 RSUs that were awarded on August 9, 2023 vested on March 1, 2025. 5,149 RSUs that were awarded on May 14, 2024 vested on March 1, 2025.</w:t>
      </w:r>
    </w:p>
    <w:p>
      <w:pPr>
        <w:ind w:left="300" w:hanging="299"/>
        <w:spacing w:after="0" w:line="283" w:lineRule="auto"/>
        <w:tabs>
          <w:tab w:leader="none" w:pos="3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1,273 RSUs that were awarded on May 15, 2022 vested on March 1, 2025. 6,605 PSUs that were awarded on May 15, 2022 vested on February 24, 2025. 1,320 RSUs that were awarded on August 9, 2023 vested on March 1, 2025. 1,540 RSUs that were awarded on May 14, 2024 vested on March 1, 2025.</w:t>
      </w:r>
    </w:p>
    <w:p>
      <w:pPr>
        <w:ind w:left="300" w:hanging="299"/>
        <w:spacing w:after="0" w:line="283" w:lineRule="auto"/>
        <w:tabs>
          <w:tab w:leader="none" w:pos="3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1,591 RSUs that were awarded on May 15, 2022 vested on March 1, 2025. 8,255 PSUs that were awarded on May 15, 2022 vested on February 24, 2025. 1,810 RSUs that were awarded on August 9, 2023 vested on March 1, 2025. 2,108 RSUs that were awarded on May 14, 2024 vested on March 1, 2025.</w:t>
      </w:r>
    </w:p>
    <w:p>
      <w:pPr>
        <w:ind w:left="300" w:hanging="299"/>
        <w:spacing w:after="0" w:line="283" w:lineRule="auto"/>
        <w:tabs>
          <w:tab w:leader="none" w:pos="3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1,591 RSUs that were awarded on May 15, 2022 vested on March 1, 2025. 8,255 PSUs that were awarded on May 15, 2022 vested on February 24, 2025. 1,810 RSUs that were awarded on August 9, 2023 vested on March 1, 2025. 2,108 RSUs that were awarded on May 14, 2024 vested on March 1, 2025.</w:t>
      </w:r>
    </w:p>
    <w:p>
      <w:pPr>
        <w:ind w:left="300" w:hanging="299"/>
        <w:spacing w:after="0" w:line="285" w:lineRule="auto"/>
        <w:tabs>
          <w:tab w:leader="none" w:pos="3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946 RSUs that were awarded on May 15, 2022 vested on March 1, 2025. 4,902 PSUs that were awarded on May 15, 2022 vested on February 24, 2025. 1,028 RSUs that were awarded on August 9, 2023 vested on March 1, 2025. 1,155 RSUs that were awarded on May 14, 2024 vested on March 1, 2025.</w:t>
      </w:r>
    </w:p>
    <w:p>
      <w:pPr>
        <w:spacing w:after="0" w:line="288"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Potential Payments Upon Termination or Change in Control</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00304D"/>
        </w:rPr>
        <w:t>Under Employment Agreements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5E7C"/>
        </w:rPr>
        <w:t>Timothy J. FitzGerald</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During the term of Mr. FitzGerald’s employment agreement, as described above under the heading “Employment Agreements with Named Executive Officers,” Mr.</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FitzGerald’s employment can be terminated by the Company or MM or by Mr. FitzGerald at any time, or by the death of Mr. FitzGerald.</w:t>
      </w:r>
    </w:p>
    <w:p>
      <w:pPr>
        <w:spacing w:after="0" w:line="167"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If Mr. FitzGerald’s employment is terminated by the Company for reasons other than “cause” (as defined in the employment agreement), or by Mr. FitzGerald due to a material diminution of his duties, or due to his death or disability, Mr. FitzGerald would be entitled to a pro-rata share of any incentive compensation under the VCIP that would otherwise have been payable to him based on actual performance had he remained employed by the Company until the last day of the fiscal year. In addition, if the Company terminates Mr. FitzGerald’s employment without cause, or if Mr. FitzGerald terminates his employment due to a material diminution of his duties, Mr. FitzGerald would be entitled to (i) a lump sum payment equal to three times the sum of (x) his annual base salary as in effect immediately prior to the date of termination and (y) an amount equal to the greater of (I) the amount of his annual incentive bonus with respect to the full calendar year immediately prior to the year of termination and (II) the average of his annual incentive bonuses for each of the three calendar years immediately prior to the year of termination, and (ii) continued coverage under any medical, dental, vision, disability and life insurance program or policy maintained by the Company for twenty-four months at the active employee cost.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If any amount payable to Mr. FitzGerald is deemed under the Internal Revenue Code to be made in connection with a change in control of the Company and would result in imposition of an excise tax, the employment agreement provides that Mr. FitzGerald’s payments will be reduced to an amount that would not result in the imposition of an excise tax, to the extent such reduction would result in a greater after-tax benefit to Mr. FitzGerald.</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00304D"/>
        </w:rPr>
        <w:t>Under Equity Incentive Plans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In the event of a termination of employment by the Company other than for cause (with respect to Messrs. FitzGerald, Mittelman, Pool, Spittle and Fuchsen), or resignation due to a diminution of duties (with respect to Mr. FitzGerald), a portion of the time-based component of any outstanding share awards would immediately vest on a pro-rata basis. Further, the performance-based component of any outstanding restricted stock or PSU award will vest in that number of shares or PSUs that would have vested based on actual performance, pro-rated for the number of days of the relevant performance period through the date of termination. Any remaining shares or PSUs that do not vest are forfeited.</w:t>
      </w:r>
    </w:p>
    <w:p>
      <w:pPr>
        <w:spacing w:after="0" w:line="14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49" w:name="page50"/>
    <w:bookmarkEnd w:id="49"/>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 the event of a “change in control” (as defined in the PSU and RSU agreements), all of the RSUs, to the extent not already vested, would immediately vest as of the date of such change of control. The PSU award would immediately vest in the greater of (i) the target number of PSUs or (ii) the number of PSUs that would have vested based on actual performance measured immediately prior to the date of the change of control as determined by the Compensation Committee. Any remaining PSUs that do not vest are forfeited.</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5E7C"/>
        </w:rPr>
        <w:t>Quantification</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tables below illustrate the potential payments to each Named Executive Officer under each of the circumstances discussed above. The tables assume that the terminations or change in control, as applicable, took place on January 3, 2026, the last day of our 2025 fiscal year, and are based on the applicable executive’s current employment terms and the closing value of our common stock on January 2, 2026, the last trading day of our 2025 fiscal year, which was $150.77 per share.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5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60" w:type="dxa"/>
            <w:vAlign w:val="bottom"/>
          </w:tcPr>
          <w:p>
            <w:pPr>
              <w:jc w:val="right"/>
              <w:ind w:right="244"/>
              <w:spacing w:after="0"/>
              <w:rPr>
                <w:sz w:val="20"/>
                <w:szCs w:val="20"/>
                <w:color w:val="auto"/>
              </w:rPr>
            </w:pPr>
            <w:r>
              <w:rPr>
                <w:rFonts w:ascii="Arial" w:cs="Arial" w:eastAsia="Arial" w:hAnsi="Arial"/>
                <w:sz w:val="15"/>
                <w:szCs w:val="15"/>
                <w:b w:val="1"/>
                <w:bCs w:val="1"/>
                <w:color w:val="00304D"/>
              </w:rPr>
              <w:t>Voluntary</w:t>
            </w:r>
          </w:p>
        </w:tc>
        <w:tc>
          <w:tcPr>
            <w:tcW w:w="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5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right"/>
              <w:ind w:right="244"/>
              <w:spacing w:after="0"/>
              <w:rPr>
                <w:sz w:val="20"/>
                <w:szCs w:val="20"/>
                <w:color w:val="auto"/>
              </w:rPr>
            </w:pPr>
            <w:r>
              <w:rPr>
                <w:rFonts w:ascii="Arial" w:cs="Arial" w:eastAsia="Arial" w:hAnsi="Arial"/>
                <w:sz w:val="15"/>
                <w:szCs w:val="15"/>
                <w:b w:val="1"/>
                <w:bCs w:val="1"/>
                <w:color w:val="00304D"/>
              </w:rPr>
              <w:t>Involuntary</w:t>
            </w:r>
          </w:p>
        </w:tc>
        <w:tc>
          <w:tcPr>
            <w:tcW w:w="1900" w:type="dxa"/>
            <w:vAlign w:val="bottom"/>
            <w:gridSpan w:val="2"/>
          </w:tcPr>
          <w:p>
            <w:pPr>
              <w:jc w:val="right"/>
              <w:ind w:right="244"/>
              <w:spacing w:after="0"/>
              <w:rPr>
                <w:sz w:val="20"/>
                <w:szCs w:val="20"/>
                <w:color w:val="auto"/>
              </w:rPr>
            </w:pPr>
            <w:r>
              <w:rPr>
                <w:rFonts w:ascii="Arial" w:cs="Arial" w:eastAsia="Arial" w:hAnsi="Arial"/>
                <w:sz w:val="15"/>
                <w:szCs w:val="15"/>
                <w:b w:val="1"/>
                <w:bCs w:val="1"/>
                <w:color w:val="00304D"/>
              </w:rPr>
              <w:t>Termination due to</w:t>
            </w:r>
          </w:p>
        </w:tc>
        <w:tc>
          <w:tcPr>
            <w:tcW w:w="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5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right"/>
              <w:ind w:right="244"/>
              <w:spacing w:after="0"/>
              <w:rPr>
                <w:sz w:val="20"/>
                <w:szCs w:val="20"/>
                <w:color w:val="auto"/>
              </w:rPr>
            </w:pPr>
            <w:r>
              <w:rPr>
                <w:rFonts w:ascii="Arial" w:cs="Arial" w:eastAsia="Arial" w:hAnsi="Arial"/>
                <w:sz w:val="15"/>
                <w:szCs w:val="15"/>
                <w:b w:val="1"/>
                <w:bCs w:val="1"/>
                <w:color w:val="00304D"/>
              </w:rPr>
              <w:t>Termination</w:t>
            </w:r>
          </w:p>
        </w:tc>
        <w:tc>
          <w:tcPr>
            <w:tcW w:w="1900" w:type="dxa"/>
            <w:vAlign w:val="bottom"/>
            <w:gridSpan w:val="2"/>
          </w:tcPr>
          <w:p>
            <w:pPr>
              <w:ind w:left="180"/>
              <w:spacing w:after="0"/>
              <w:rPr>
                <w:sz w:val="20"/>
                <w:szCs w:val="20"/>
                <w:color w:val="auto"/>
              </w:rPr>
            </w:pPr>
            <w:r>
              <w:rPr>
                <w:rFonts w:ascii="Arial" w:cs="Arial" w:eastAsia="Arial" w:hAnsi="Arial"/>
                <w:sz w:val="15"/>
                <w:szCs w:val="15"/>
                <w:b w:val="1"/>
                <w:bCs w:val="1"/>
                <w:color w:val="00304D"/>
              </w:rPr>
              <w:t>Material Diminution</w:t>
            </w:r>
          </w:p>
        </w:tc>
        <w:tc>
          <w:tcPr>
            <w:tcW w:w="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8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00304D"/>
              </w:rPr>
              <w:t>Name</w:t>
            </w:r>
          </w:p>
        </w:tc>
        <w:tc>
          <w:tcPr>
            <w:tcW w:w="2580" w:type="dxa"/>
            <w:vAlign w:val="bottom"/>
            <w:tcBorders>
              <w:bottom w:val="single" w:sz="8" w:color="002F4D"/>
            </w:tcBorders>
          </w:tcPr>
          <w:p>
            <w:pPr>
              <w:jc w:val="right"/>
              <w:ind w:right="64"/>
              <w:spacing w:after="0"/>
              <w:rPr>
                <w:sz w:val="20"/>
                <w:szCs w:val="20"/>
                <w:color w:val="auto"/>
              </w:rPr>
            </w:pPr>
            <w:r>
              <w:rPr>
                <w:rFonts w:ascii="Arial" w:cs="Arial" w:eastAsia="Arial" w:hAnsi="Arial"/>
                <w:sz w:val="15"/>
                <w:szCs w:val="15"/>
                <w:b w:val="1"/>
                <w:bCs w:val="1"/>
                <w:color w:val="00304D"/>
              </w:rPr>
              <w:t>Type of Payment</w:t>
            </w:r>
          </w:p>
        </w:tc>
        <w:tc>
          <w:tcPr>
            <w:tcW w:w="1520" w:type="dxa"/>
            <w:vAlign w:val="bottom"/>
            <w:tcBorders>
              <w:bottom w:val="single" w:sz="8" w:color="002F4D"/>
            </w:tcBorders>
            <w:gridSpan w:val="2"/>
          </w:tcPr>
          <w:p>
            <w:pPr>
              <w:ind w:left="160"/>
              <w:spacing w:after="0"/>
              <w:rPr>
                <w:sz w:val="20"/>
                <w:szCs w:val="20"/>
                <w:color w:val="auto"/>
              </w:rPr>
            </w:pPr>
            <w:r>
              <w:rPr>
                <w:rFonts w:ascii="Arial" w:cs="Arial" w:eastAsia="Arial" w:hAnsi="Arial"/>
                <w:sz w:val="15"/>
                <w:szCs w:val="15"/>
                <w:b w:val="1"/>
                <w:bCs w:val="1"/>
                <w:color w:val="00304D"/>
              </w:rPr>
              <w:t>Without Cause</w:t>
            </w:r>
          </w:p>
        </w:tc>
        <w:tc>
          <w:tcPr>
            <w:tcW w:w="540" w:type="dxa"/>
            <w:vAlign w:val="bottom"/>
            <w:tcBorders>
              <w:bottom w:val="single" w:sz="8" w:color="002F4D"/>
            </w:tcBorders>
          </w:tcPr>
          <w:p>
            <w:pPr>
              <w:spacing w:after="0"/>
              <w:rPr>
                <w:sz w:val="16"/>
                <w:szCs w:val="16"/>
                <w:color w:val="auto"/>
              </w:rPr>
            </w:pPr>
          </w:p>
        </w:tc>
        <w:tc>
          <w:tcPr>
            <w:tcW w:w="136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b w:val="1"/>
                <w:bCs w:val="1"/>
                <w:color w:val="00304D"/>
              </w:rPr>
              <w:t>of Duties</w:t>
            </w:r>
          </w:p>
        </w:tc>
        <w:tc>
          <w:tcPr>
            <w:tcW w:w="1660" w:type="dxa"/>
            <w:vAlign w:val="bottom"/>
            <w:tcBorders>
              <w:bottom w:val="single" w:sz="8" w:color="002F4D"/>
            </w:tcBorders>
            <w:gridSpan w:val="2"/>
          </w:tcPr>
          <w:p>
            <w:pPr>
              <w:ind w:left="160"/>
              <w:spacing w:after="0"/>
              <w:rPr>
                <w:sz w:val="20"/>
                <w:szCs w:val="20"/>
                <w:color w:val="auto"/>
              </w:rPr>
            </w:pPr>
            <w:r>
              <w:rPr>
                <w:rFonts w:ascii="Arial" w:cs="Arial" w:eastAsia="Arial" w:hAnsi="Arial"/>
                <w:sz w:val="15"/>
                <w:szCs w:val="15"/>
                <w:b w:val="1"/>
                <w:bCs w:val="1"/>
                <w:color w:val="00304D"/>
              </w:rPr>
              <w:t>Change in Control</w:t>
            </w:r>
          </w:p>
        </w:tc>
        <w:tc>
          <w:tcPr>
            <w:tcW w:w="0" w:type="dxa"/>
            <w:vAlign w:val="bottom"/>
          </w:tcPr>
          <w:p>
            <w:pPr>
              <w:spacing w:after="0"/>
              <w:rPr>
                <w:sz w:val="1"/>
                <w:szCs w:val="1"/>
                <w:color w:val="auto"/>
              </w:rPr>
            </w:pPr>
          </w:p>
        </w:tc>
      </w:tr>
      <w:tr>
        <w:trPr>
          <w:trHeight w:val="220"/>
        </w:trPr>
        <w:tc>
          <w:tcPr>
            <w:tcW w:w="358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auto"/>
              </w:rPr>
              <w:t>Timothy J. FitzGerald</w:t>
            </w:r>
          </w:p>
        </w:tc>
        <w:tc>
          <w:tcPr>
            <w:tcW w:w="2580" w:type="dxa"/>
            <w:vAlign w:val="bottom"/>
            <w:tcBorders>
              <w:bottom w:val="single" w:sz="8" w:color="002F4D"/>
            </w:tcBorders>
          </w:tcPr>
          <w:p>
            <w:pPr>
              <w:jc w:val="right"/>
              <w:ind w:right="64"/>
              <w:spacing w:after="0"/>
              <w:rPr>
                <w:sz w:val="20"/>
                <w:szCs w:val="20"/>
                <w:color w:val="auto"/>
              </w:rPr>
            </w:pPr>
            <w:r>
              <w:rPr>
                <w:rFonts w:ascii="Arial" w:cs="Arial" w:eastAsia="Arial" w:hAnsi="Arial"/>
                <w:sz w:val="15"/>
                <w:szCs w:val="15"/>
                <w:color w:val="auto"/>
              </w:rPr>
              <w:t>Cash Severance</w:t>
            </w:r>
          </w:p>
        </w:tc>
        <w:tc>
          <w:tcPr>
            <w:tcW w:w="300" w:type="dxa"/>
            <w:vAlign w:val="bottom"/>
            <w:tcBorders>
              <w:bottom w:val="single" w:sz="8" w:color="002F4D"/>
            </w:tcBorders>
          </w:tcPr>
          <w:p>
            <w:pPr>
              <w:ind w:left="160"/>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7,500,440</w:t>
            </w:r>
          </w:p>
        </w:tc>
        <w:tc>
          <w:tcPr>
            <w:tcW w:w="540" w:type="dxa"/>
            <w:vAlign w:val="bottom"/>
            <w:tcBorders>
              <w:bottom w:val="single" w:sz="8" w:color="002F4D"/>
            </w:tcBorders>
          </w:tcPr>
          <w:p>
            <w:pPr>
              <w:ind w:left="180"/>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7,500,440</w:t>
            </w:r>
          </w:p>
        </w:tc>
        <w:tc>
          <w:tcPr>
            <w:tcW w:w="480" w:type="dxa"/>
            <w:vAlign w:val="bottom"/>
            <w:tcBorders>
              <w:bottom w:val="single" w:sz="8" w:color="002F4D"/>
            </w:tcBorders>
          </w:tcPr>
          <w:p>
            <w:pPr>
              <w:ind w:left="160"/>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002F4D"/>
            </w:tcBorders>
          </w:tcPr>
          <w:p>
            <w:pPr>
              <w:jc w:val="right"/>
              <w:spacing w:after="0" w:line="220" w:lineRule="exact"/>
              <w:rPr>
                <w:sz w:val="20"/>
                <w:szCs w:val="20"/>
                <w:color w:val="auto"/>
              </w:rPr>
            </w:pPr>
            <w:r>
              <w:rPr>
                <w:rFonts w:ascii="Arial" w:cs="Arial" w:eastAsia="Arial" w:hAnsi="Arial"/>
                <w:sz w:val="15"/>
                <w:szCs w:val="15"/>
                <w:color w:val="auto"/>
              </w:rPr>
              <w:t>7,500,440</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220"/>
        </w:trPr>
        <w:tc>
          <w:tcPr>
            <w:tcW w:w="3580" w:type="dxa"/>
            <w:vAlign w:val="bottom"/>
          </w:tcPr>
          <w:p>
            <w:pPr>
              <w:spacing w:after="0"/>
              <w:rPr>
                <w:sz w:val="19"/>
                <w:szCs w:val="19"/>
                <w:color w:val="auto"/>
              </w:rPr>
            </w:pPr>
          </w:p>
        </w:tc>
        <w:tc>
          <w:tcPr>
            <w:tcW w:w="2580" w:type="dxa"/>
            <w:vAlign w:val="bottom"/>
            <w:tcBorders>
              <w:bottom w:val="single" w:sz="8" w:color="002F4D"/>
            </w:tcBorders>
          </w:tcPr>
          <w:p>
            <w:pPr>
              <w:jc w:val="right"/>
              <w:ind w:right="64"/>
              <w:spacing w:after="0"/>
              <w:rPr>
                <w:sz w:val="20"/>
                <w:szCs w:val="20"/>
                <w:color w:val="auto"/>
              </w:rPr>
            </w:pPr>
            <w:r>
              <w:rPr>
                <w:rFonts w:ascii="Arial" w:cs="Arial" w:eastAsia="Arial" w:hAnsi="Arial"/>
                <w:sz w:val="15"/>
                <w:szCs w:val="15"/>
                <w:color w:val="auto"/>
              </w:rPr>
              <w:t>Benefits</w:t>
            </w:r>
          </w:p>
        </w:tc>
        <w:tc>
          <w:tcPr>
            <w:tcW w:w="300" w:type="dxa"/>
            <w:vAlign w:val="bottom"/>
            <w:tcBorders>
              <w:bottom w:val="single" w:sz="8" w:color="002F4D"/>
            </w:tcBorders>
          </w:tcPr>
          <w:p>
            <w:pPr>
              <w:ind w:left="160"/>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002F4D"/>
            </w:tcBorders>
          </w:tcPr>
          <w:p>
            <w:pPr>
              <w:jc w:val="right"/>
              <w:ind w:right="84"/>
              <w:spacing w:after="0" w:line="220" w:lineRule="exact"/>
              <w:rPr>
                <w:sz w:val="20"/>
                <w:szCs w:val="20"/>
                <w:color w:val="auto"/>
              </w:rPr>
            </w:pPr>
            <w:r>
              <w:rPr>
                <w:rFonts w:ascii="Arial" w:cs="Arial" w:eastAsia="Arial" w:hAnsi="Arial"/>
                <w:sz w:val="15"/>
                <w:szCs w:val="15"/>
                <w:color w:val="auto"/>
              </w:rPr>
              <w:t>60,000</w:t>
            </w:r>
            <w:r>
              <w:rPr>
                <w:rFonts w:ascii="Arial" w:cs="Arial" w:eastAsia="Arial" w:hAnsi="Arial"/>
                <w:sz w:val="25"/>
                <w:szCs w:val="25"/>
                <w:color w:val="auto"/>
                <w:vertAlign w:val="superscript"/>
              </w:rPr>
              <w:t>(2)</w:t>
            </w:r>
          </w:p>
        </w:tc>
        <w:tc>
          <w:tcPr>
            <w:tcW w:w="540" w:type="dxa"/>
            <w:vAlign w:val="bottom"/>
            <w:tcBorders>
              <w:bottom w:val="single" w:sz="8" w:color="002F4D"/>
            </w:tcBorders>
          </w:tcPr>
          <w:p>
            <w:pPr>
              <w:ind w:left="180"/>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002F4D"/>
            </w:tcBorders>
          </w:tcPr>
          <w:p>
            <w:pPr>
              <w:jc w:val="right"/>
              <w:ind w:right="104"/>
              <w:spacing w:after="0" w:line="220" w:lineRule="exact"/>
              <w:rPr>
                <w:sz w:val="20"/>
                <w:szCs w:val="20"/>
                <w:color w:val="auto"/>
              </w:rPr>
            </w:pPr>
            <w:r>
              <w:rPr>
                <w:rFonts w:ascii="Arial" w:cs="Arial" w:eastAsia="Arial" w:hAnsi="Arial"/>
                <w:sz w:val="15"/>
                <w:szCs w:val="15"/>
                <w:color w:val="auto"/>
              </w:rPr>
              <w:t>60,000</w:t>
            </w:r>
            <w:r>
              <w:rPr>
                <w:rFonts w:ascii="Arial" w:cs="Arial" w:eastAsia="Arial" w:hAnsi="Arial"/>
                <w:sz w:val="25"/>
                <w:szCs w:val="25"/>
                <w:color w:val="auto"/>
                <w:vertAlign w:val="superscript"/>
              </w:rPr>
              <w:t>(2)</w:t>
            </w:r>
          </w:p>
        </w:tc>
        <w:tc>
          <w:tcPr>
            <w:tcW w:w="480" w:type="dxa"/>
            <w:vAlign w:val="bottom"/>
            <w:tcBorders>
              <w:bottom w:val="single" w:sz="8" w:color="002F4D"/>
            </w:tcBorders>
          </w:tcPr>
          <w:p>
            <w:pPr>
              <w:ind w:left="160"/>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002F4D"/>
            </w:tcBorders>
          </w:tcPr>
          <w:p>
            <w:pPr>
              <w:jc w:val="right"/>
              <w:spacing w:after="0" w:line="220" w:lineRule="exact"/>
              <w:rPr>
                <w:sz w:val="20"/>
                <w:szCs w:val="20"/>
                <w:color w:val="auto"/>
              </w:rPr>
            </w:pPr>
            <w:r>
              <w:rPr>
                <w:rFonts w:ascii="Arial" w:cs="Arial" w:eastAsia="Arial" w:hAnsi="Arial"/>
                <w:sz w:val="15"/>
                <w:szCs w:val="15"/>
                <w:color w:val="auto"/>
              </w:rPr>
              <w:t>60,000</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157"/>
        </w:trPr>
        <w:tc>
          <w:tcPr>
            <w:tcW w:w="3580" w:type="dxa"/>
            <w:vAlign w:val="bottom"/>
          </w:tcPr>
          <w:p>
            <w:pPr>
              <w:spacing w:after="0"/>
              <w:rPr>
                <w:sz w:val="13"/>
                <w:szCs w:val="13"/>
                <w:color w:val="auto"/>
              </w:rPr>
            </w:pPr>
          </w:p>
        </w:tc>
        <w:tc>
          <w:tcPr>
            <w:tcW w:w="2580" w:type="dxa"/>
            <w:vAlign w:val="bottom"/>
          </w:tcPr>
          <w:p>
            <w:pPr>
              <w:jc w:val="right"/>
              <w:ind w:right="64"/>
              <w:spacing w:after="0" w:line="157" w:lineRule="exact"/>
              <w:rPr>
                <w:sz w:val="20"/>
                <w:szCs w:val="20"/>
                <w:color w:val="auto"/>
              </w:rPr>
            </w:pPr>
            <w:r>
              <w:rPr>
                <w:rFonts w:ascii="Arial" w:cs="Arial" w:eastAsia="Arial" w:hAnsi="Arial"/>
                <w:sz w:val="15"/>
                <w:szCs w:val="15"/>
                <w:color w:val="auto"/>
              </w:rPr>
              <w:t>Accelerated Vesting of Restricted</w:t>
            </w:r>
          </w:p>
        </w:tc>
        <w:tc>
          <w:tcPr>
            <w:tcW w:w="300" w:type="dxa"/>
            <w:vAlign w:val="bottom"/>
          </w:tcPr>
          <w:p>
            <w:pPr>
              <w:spacing w:after="0"/>
              <w:rPr>
                <w:sz w:val="13"/>
                <w:szCs w:val="13"/>
                <w:color w:val="auto"/>
              </w:rPr>
            </w:pPr>
          </w:p>
        </w:tc>
        <w:tc>
          <w:tcPr>
            <w:tcW w:w="1220" w:type="dxa"/>
            <w:vAlign w:val="bottom"/>
            <w:vMerge w:val="restart"/>
          </w:tcPr>
          <w:p>
            <w:pPr>
              <w:jc w:val="right"/>
              <w:ind w:right="84"/>
              <w:spacing w:after="0"/>
              <w:rPr>
                <w:sz w:val="20"/>
                <w:szCs w:val="20"/>
                <w:color w:val="auto"/>
              </w:rPr>
            </w:pPr>
            <w:r>
              <w:rPr>
                <w:rFonts w:ascii="Arial" w:cs="Arial" w:eastAsia="Arial" w:hAnsi="Arial"/>
                <w:sz w:val="15"/>
                <w:szCs w:val="15"/>
                <w:color w:val="auto"/>
              </w:rPr>
              <w:t>10,971,684</w:t>
            </w:r>
            <w:r>
              <w:rPr>
                <w:rFonts w:ascii="Arial" w:cs="Arial" w:eastAsia="Arial" w:hAnsi="Arial"/>
                <w:sz w:val="25"/>
                <w:szCs w:val="25"/>
                <w:color w:val="auto"/>
                <w:vertAlign w:val="superscript"/>
              </w:rPr>
              <w:t>(3)</w:t>
            </w:r>
          </w:p>
        </w:tc>
        <w:tc>
          <w:tcPr>
            <w:tcW w:w="540" w:type="dxa"/>
            <w:vAlign w:val="bottom"/>
          </w:tcPr>
          <w:p>
            <w:pPr>
              <w:spacing w:after="0"/>
              <w:rPr>
                <w:sz w:val="13"/>
                <w:szCs w:val="13"/>
                <w:color w:val="auto"/>
              </w:rPr>
            </w:pPr>
          </w:p>
        </w:tc>
        <w:tc>
          <w:tcPr>
            <w:tcW w:w="1360" w:type="dxa"/>
            <w:vAlign w:val="bottom"/>
            <w:vMerge w:val="restart"/>
          </w:tcPr>
          <w:p>
            <w:pPr>
              <w:jc w:val="right"/>
              <w:ind w:right="104"/>
              <w:spacing w:after="0"/>
              <w:rPr>
                <w:sz w:val="20"/>
                <w:szCs w:val="20"/>
                <w:color w:val="auto"/>
              </w:rPr>
            </w:pPr>
            <w:r>
              <w:rPr>
                <w:rFonts w:ascii="Arial" w:cs="Arial" w:eastAsia="Arial" w:hAnsi="Arial"/>
                <w:sz w:val="15"/>
                <w:szCs w:val="15"/>
                <w:color w:val="auto"/>
              </w:rPr>
              <w:t>10,971,684</w:t>
            </w:r>
            <w:r>
              <w:rPr>
                <w:rFonts w:ascii="Arial" w:cs="Arial" w:eastAsia="Arial" w:hAnsi="Arial"/>
                <w:sz w:val="25"/>
                <w:szCs w:val="25"/>
                <w:color w:val="auto"/>
                <w:vertAlign w:val="superscript"/>
              </w:rPr>
              <w:t>(3)</w:t>
            </w:r>
          </w:p>
        </w:tc>
        <w:tc>
          <w:tcPr>
            <w:tcW w:w="4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17,686,376</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189"/>
        </w:trPr>
        <w:tc>
          <w:tcPr>
            <w:tcW w:w="3580" w:type="dxa"/>
            <w:vAlign w:val="bottom"/>
            <w:tcBorders>
              <w:bottom w:val="single" w:sz="8" w:color="002F4D"/>
            </w:tcBorders>
          </w:tcPr>
          <w:p>
            <w:pPr>
              <w:spacing w:after="0"/>
              <w:rPr>
                <w:sz w:val="16"/>
                <w:szCs w:val="16"/>
                <w:color w:val="auto"/>
              </w:rPr>
            </w:pPr>
          </w:p>
        </w:tc>
        <w:tc>
          <w:tcPr>
            <w:tcW w:w="2580" w:type="dxa"/>
            <w:vAlign w:val="bottom"/>
            <w:tcBorders>
              <w:bottom w:val="single" w:sz="8" w:color="002F4D"/>
            </w:tcBorders>
          </w:tcPr>
          <w:p>
            <w:pPr>
              <w:jc w:val="right"/>
              <w:ind w:right="64"/>
              <w:spacing w:after="0"/>
              <w:rPr>
                <w:sz w:val="20"/>
                <w:szCs w:val="20"/>
                <w:color w:val="auto"/>
              </w:rPr>
            </w:pPr>
            <w:r>
              <w:rPr>
                <w:rFonts w:ascii="Arial" w:cs="Arial" w:eastAsia="Arial" w:hAnsi="Arial"/>
                <w:sz w:val="15"/>
                <w:szCs w:val="15"/>
                <w:color w:val="auto"/>
              </w:rPr>
              <w:t>Stock, RSUs or PSUs</w:t>
            </w:r>
          </w:p>
        </w:tc>
        <w:tc>
          <w:tcPr>
            <w:tcW w:w="300" w:type="dxa"/>
            <w:vAlign w:val="bottom"/>
            <w:tcBorders>
              <w:bottom w:val="single" w:sz="8" w:color="002F4D"/>
            </w:tcBorders>
          </w:tcPr>
          <w:p>
            <w:pPr>
              <w:ind w:left="160"/>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002F4D"/>
            </w:tcBorders>
            <w:vMerge w:val="continue"/>
          </w:tcPr>
          <w:p>
            <w:pPr>
              <w:spacing w:after="0"/>
              <w:rPr>
                <w:sz w:val="16"/>
                <w:szCs w:val="16"/>
                <w:color w:val="auto"/>
              </w:rPr>
            </w:pPr>
          </w:p>
        </w:tc>
        <w:tc>
          <w:tcPr>
            <w:tcW w:w="540" w:type="dxa"/>
            <w:vAlign w:val="bottom"/>
            <w:tcBorders>
              <w:bottom w:val="single" w:sz="8" w:color="002F4D"/>
            </w:tcBorders>
          </w:tcPr>
          <w:p>
            <w:pPr>
              <w:ind w:left="180"/>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002F4D"/>
            </w:tcBorders>
            <w:vMerge w:val="continue"/>
          </w:tcPr>
          <w:p>
            <w:pPr>
              <w:spacing w:after="0"/>
              <w:rPr>
                <w:sz w:val="16"/>
                <w:szCs w:val="16"/>
                <w:color w:val="auto"/>
              </w:rPr>
            </w:pPr>
          </w:p>
        </w:tc>
        <w:tc>
          <w:tcPr>
            <w:tcW w:w="480" w:type="dxa"/>
            <w:vAlign w:val="bottom"/>
            <w:tcBorders>
              <w:bottom w:val="single" w:sz="8" w:color="002F4D"/>
            </w:tcBorders>
          </w:tcPr>
          <w:p>
            <w:pPr>
              <w:ind w:left="160"/>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002F4D"/>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80" w:type="dxa"/>
            <w:vAlign w:val="bottom"/>
            <w:tcBorders>
              <w:bottom w:val="single" w:sz="8" w:color="002F4D"/>
            </w:tcBorders>
            <w:shd w:val="clear" w:color="auto" w:fill="E5ECF1"/>
          </w:tcPr>
          <w:p>
            <w:pPr>
              <w:spacing w:after="0"/>
              <w:rPr>
                <w:sz w:val="15"/>
                <w:szCs w:val="15"/>
                <w:color w:val="auto"/>
              </w:rPr>
            </w:pPr>
          </w:p>
        </w:tc>
        <w:tc>
          <w:tcPr>
            <w:tcW w:w="2580" w:type="dxa"/>
            <w:vAlign w:val="bottom"/>
            <w:tcBorders>
              <w:bottom w:val="single" w:sz="8" w:color="002F4D"/>
            </w:tcBorders>
            <w:shd w:val="clear" w:color="auto" w:fill="E5ECF1"/>
          </w:tcPr>
          <w:p>
            <w:pPr>
              <w:jc w:val="right"/>
              <w:ind w:right="64"/>
              <w:spacing w:after="0"/>
              <w:rPr>
                <w:sz w:val="20"/>
                <w:szCs w:val="20"/>
                <w:color w:val="auto"/>
              </w:rPr>
            </w:pPr>
            <w:r>
              <w:rPr>
                <w:rFonts w:ascii="Arial" w:cs="Arial" w:eastAsia="Arial" w:hAnsi="Arial"/>
                <w:sz w:val="15"/>
                <w:szCs w:val="15"/>
                <w:b w:val="1"/>
                <w:bCs w:val="1"/>
                <w:color w:val="00304D"/>
              </w:rPr>
              <w:t>Total</w:t>
            </w:r>
          </w:p>
        </w:tc>
        <w:tc>
          <w:tcPr>
            <w:tcW w:w="300" w:type="dxa"/>
            <w:vAlign w:val="bottom"/>
            <w:tcBorders>
              <w:bottom w:val="single" w:sz="8" w:color="002F4D"/>
            </w:tcBorders>
            <w:shd w:val="clear" w:color="auto" w:fill="E5ECF1"/>
          </w:tcPr>
          <w:p>
            <w:pPr>
              <w:ind w:left="160"/>
              <w:spacing w:after="0"/>
              <w:rPr>
                <w:sz w:val="20"/>
                <w:szCs w:val="20"/>
                <w:color w:val="auto"/>
              </w:rPr>
            </w:pPr>
            <w:r>
              <w:rPr>
                <w:rFonts w:ascii="Arial" w:cs="Arial" w:eastAsia="Arial" w:hAnsi="Arial"/>
                <w:sz w:val="15"/>
                <w:szCs w:val="15"/>
                <w:b w:val="1"/>
                <w:bCs w:val="1"/>
                <w:color w:val="00304D"/>
              </w:rPr>
              <w:t>$</w:t>
            </w:r>
          </w:p>
        </w:tc>
        <w:tc>
          <w:tcPr>
            <w:tcW w:w="1220" w:type="dxa"/>
            <w:vAlign w:val="bottom"/>
            <w:tcBorders>
              <w:bottom w:val="single" w:sz="8" w:color="002F4D"/>
            </w:tcBorders>
            <w:shd w:val="clear" w:color="auto" w:fill="E5ECF1"/>
          </w:tcPr>
          <w:p>
            <w:pPr>
              <w:jc w:val="right"/>
              <w:ind w:right="244"/>
              <w:spacing w:after="0"/>
              <w:rPr>
                <w:sz w:val="20"/>
                <w:szCs w:val="20"/>
                <w:color w:val="auto"/>
              </w:rPr>
            </w:pPr>
            <w:r>
              <w:rPr>
                <w:rFonts w:ascii="Arial" w:cs="Arial" w:eastAsia="Arial" w:hAnsi="Arial"/>
                <w:sz w:val="15"/>
                <w:szCs w:val="15"/>
                <w:b w:val="1"/>
                <w:bCs w:val="1"/>
                <w:color w:val="00304D"/>
              </w:rPr>
              <w:t>18,532,124</w:t>
            </w:r>
          </w:p>
        </w:tc>
        <w:tc>
          <w:tcPr>
            <w:tcW w:w="540" w:type="dxa"/>
            <w:vAlign w:val="bottom"/>
            <w:tcBorders>
              <w:bottom w:val="single" w:sz="8" w:color="002F4D"/>
            </w:tcBorders>
            <w:shd w:val="clear" w:color="auto" w:fill="E5ECF1"/>
          </w:tcPr>
          <w:p>
            <w:pPr>
              <w:ind w:left="180"/>
              <w:spacing w:after="0"/>
              <w:rPr>
                <w:sz w:val="20"/>
                <w:szCs w:val="20"/>
                <w:color w:val="auto"/>
              </w:rPr>
            </w:pPr>
            <w:r>
              <w:rPr>
                <w:rFonts w:ascii="Arial" w:cs="Arial" w:eastAsia="Arial" w:hAnsi="Arial"/>
                <w:sz w:val="15"/>
                <w:szCs w:val="15"/>
                <w:b w:val="1"/>
                <w:bCs w:val="1"/>
                <w:color w:val="00304D"/>
              </w:rPr>
              <w:t>$</w:t>
            </w:r>
          </w:p>
        </w:tc>
        <w:tc>
          <w:tcPr>
            <w:tcW w:w="1360" w:type="dxa"/>
            <w:vAlign w:val="bottom"/>
            <w:tcBorders>
              <w:bottom w:val="single" w:sz="8" w:color="002F4D"/>
            </w:tcBorders>
            <w:shd w:val="clear" w:color="auto" w:fill="E5ECF1"/>
          </w:tcPr>
          <w:p>
            <w:pPr>
              <w:jc w:val="right"/>
              <w:ind w:right="244"/>
              <w:spacing w:after="0"/>
              <w:rPr>
                <w:sz w:val="20"/>
                <w:szCs w:val="20"/>
                <w:color w:val="auto"/>
              </w:rPr>
            </w:pPr>
            <w:r>
              <w:rPr>
                <w:rFonts w:ascii="Arial" w:cs="Arial" w:eastAsia="Arial" w:hAnsi="Arial"/>
                <w:sz w:val="15"/>
                <w:szCs w:val="15"/>
                <w:b w:val="1"/>
                <w:bCs w:val="1"/>
                <w:color w:val="00304D"/>
              </w:rPr>
              <w:t>18,532,124</w:t>
            </w:r>
          </w:p>
        </w:tc>
        <w:tc>
          <w:tcPr>
            <w:tcW w:w="480" w:type="dxa"/>
            <w:vAlign w:val="bottom"/>
            <w:tcBorders>
              <w:bottom w:val="single" w:sz="8" w:color="002F4D"/>
            </w:tcBorders>
            <w:shd w:val="clear" w:color="auto" w:fill="E5ECF1"/>
          </w:tcPr>
          <w:p>
            <w:pPr>
              <w:ind w:left="160"/>
              <w:spacing w:after="0"/>
              <w:rPr>
                <w:sz w:val="20"/>
                <w:szCs w:val="20"/>
                <w:color w:val="auto"/>
              </w:rPr>
            </w:pPr>
            <w:r>
              <w:rPr>
                <w:rFonts w:ascii="Arial" w:cs="Arial" w:eastAsia="Arial" w:hAnsi="Arial"/>
                <w:sz w:val="15"/>
                <w:szCs w:val="15"/>
                <w:b w:val="1"/>
                <w:bCs w:val="1"/>
                <w:color w:val="00304D"/>
              </w:rPr>
              <w:t>$</w:t>
            </w:r>
          </w:p>
        </w:tc>
        <w:tc>
          <w:tcPr>
            <w:tcW w:w="1180" w:type="dxa"/>
            <w:vAlign w:val="bottom"/>
            <w:tcBorders>
              <w:bottom w:val="single" w:sz="8" w:color="002F4D"/>
            </w:tcBorders>
            <w:shd w:val="clear" w:color="auto" w:fill="E5ECF1"/>
          </w:tcPr>
          <w:p>
            <w:pPr>
              <w:jc w:val="right"/>
              <w:ind w:right="124"/>
              <w:spacing w:after="0"/>
              <w:rPr>
                <w:sz w:val="20"/>
                <w:szCs w:val="20"/>
                <w:color w:val="auto"/>
              </w:rPr>
            </w:pPr>
            <w:r>
              <w:rPr>
                <w:rFonts w:ascii="Arial" w:cs="Arial" w:eastAsia="Arial" w:hAnsi="Arial"/>
                <w:sz w:val="15"/>
                <w:szCs w:val="15"/>
                <w:b w:val="1"/>
                <w:bCs w:val="1"/>
                <w:color w:val="00304D"/>
              </w:rPr>
              <w:t>25,246,816</w:t>
            </w:r>
          </w:p>
        </w:tc>
        <w:tc>
          <w:tcPr>
            <w:tcW w:w="0" w:type="dxa"/>
            <w:vAlign w:val="bottom"/>
          </w:tcPr>
          <w:p>
            <w:pPr>
              <w:spacing w:after="0"/>
              <w:rPr>
                <w:sz w:val="1"/>
                <w:szCs w:val="1"/>
                <w:color w:val="auto"/>
              </w:rPr>
            </w:pPr>
          </w:p>
        </w:tc>
      </w:tr>
      <w:tr>
        <w:trPr>
          <w:trHeight w:val="182"/>
        </w:trPr>
        <w:tc>
          <w:tcPr>
            <w:tcW w:w="358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auto"/>
              </w:rPr>
              <w:t>Bryan E. Mittelman</w:t>
            </w:r>
          </w:p>
        </w:tc>
        <w:tc>
          <w:tcPr>
            <w:tcW w:w="2580" w:type="dxa"/>
            <w:vAlign w:val="bottom"/>
            <w:tcBorders>
              <w:bottom w:val="single" w:sz="8" w:color="002F4D"/>
            </w:tcBorders>
          </w:tcPr>
          <w:p>
            <w:pPr>
              <w:jc w:val="right"/>
              <w:ind w:right="64"/>
              <w:spacing w:after="0"/>
              <w:rPr>
                <w:sz w:val="20"/>
                <w:szCs w:val="20"/>
                <w:color w:val="auto"/>
              </w:rPr>
            </w:pPr>
            <w:r>
              <w:rPr>
                <w:rFonts w:ascii="Arial" w:cs="Arial" w:eastAsia="Arial" w:hAnsi="Arial"/>
                <w:sz w:val="15"/>
                <w:szCs w:val="15"/>
                <w:color w:val="auto"/>
              </w:rPr>
              <w:t>Cash Severance</w:t>
            </w:r>
          </w:p>
        </w:tc>
        <w:tc>
          <w:tcPr>
            <w:tcW w:w="300" w:type="dxa"/>
            <w:vAlign w:val="bottom"/>
            <w:tcBorders>
              <w:bottom w:val="single" w:sz="8" w:color="002F4D"/>
            </w:tcBorders>
          </w:tcPr>
          <w:p>
            <w:pPr>
              <w:ind w:left="160"/>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002F4D"/>
            </w:tcBorders>
          </w:tcPr>
          <w:p>
            <w:pPr>
              <w:ind w:left="180"/>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002F4D"/>
            </w:tcBorders>
          </w:tcPr>
          <w:p>
            <w:pPr>
              <w:ind w:left="160"/>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002F4D"/>
            </w:tcBorders>
          </w:tcPr>
          <w:p>
            <w:pPr>
              <w:jc w:val="right"/>
              <w:ind w:right="1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7"/>
        </w:trPr>
        <w:tc>
          <w:tcPr>
            <w:tcW w:w="3580" w:type="dxa"/>
            <w:vAlign w:val="bottom"/>
          </w:tcPr>
          <w:p>
            <w:pPr>
              <w:spacing w:after="0"/>
              <w:rPr>
                <w:sz w:val="13"/>
                <w:szCs w:val="13"/>
                <w:color w:val="auto"/>
              </w:rPr>
            </w:pPr>
          </w:p>
        </w:tc>
        <w:tc>
          <w:tcPr>
            <w:tcW w:w="2580" w:type="dxa"/>
            <w:vAlign w:val="bottom"/>
          </w:tcPr>
          <w:p>
            <w:pPr>
              <w:jc w:val="right"/>
              <w:ind w:right="64"/>
              <w:spacing w:after="0" w:line="157" w:lineRule="exact"/>
              <w:rPr>
                <w:sz w:val="20"/>
                <w:szCs w:val="20"/>
                <w:color w:val="auto"/>
              </w:rPr>
            </w:pPr>
            <w:r>
              <w:rPr>
                <w:rFonts w:ascii="Arial" w:cs="Arial" w:eastAsia="Arial" w:hAnsi="Arial"/>
                <w:sz w:val="15"/>
                <w:szCs w:val="15"/>
                <w:color w:val="auto"/>
              </w:rPr>
              <w:t>Accelerated Vesting of Restricted</w:t>
            </w:r>
          </w:p>
        </w:tc>
        <w:tc>
          <w:tcPr>
            <w:tcW w:w="300" w:type="dxa"/>
            <w:vAlign w:val="bottom"/>
          </w:tcPr>
          <w:p>
            <w:pPr>
              <w:spacing w:after="0"/>
              <w:rPr>
                <w:sz w:val="13"/>
                <w:szCs w:val="13"/>
                <w:color w:val="auto"/>
              </w:rPr>
            </w:pPr>
          </w:p>
        </w:tc>
        <w:tc>
          <w:tcPr>
            <w:tcW w:w="1220" w:type="dxa"/>
            <w:vAlign w:val="bottom"/>
            <w:vMerge w:val="restart"/>
          </w:tcPr>
          <w:p>
            <w:pPr>
              <w:jc w:val="right"/>
              <w:ind w:right="84"/>
              <w:spacing w:after="0"/>
              <w:rPr>
                <w:sz w:val="20"/>
                <w:szCs w:val="20"/>
                <w:color w:val="auto"/>
              </w:rPr>
            </w:pPr>
            <w:r>
              <w:rPr>
                <w:rFonts w:ascii="Arial" w:cs="Arial" w:eastAsia="Arial" w:hAnsi="Arial"/>
                <w:sz w:val="15"/>
                <w:szCs w:val="15"/>
                <w:color w:val="auto"/>
              </w:rPr>
              <w:t>3,211,200</w:t>
            </w:r>
            <w:r>
              <w:rPr>
                <w:rFonts w:ascii="Arial" w:cs="Arial" w:eastAsia="Arial" w:hAnsi="Arial"/>
                <w:sz w:val="25"/>
                <w:szCs w:val="25"/>
                <w:color w:val="auto"/>
                <w:vertAlign w:val="superscript"/>
              </w:rPr>
              <w:t>(4)</w:t>
            </w:r>
          </w:p>
        </w:tc>
        <w:tc>
          <w:tcPr>
            <w:tcW w:w="5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5,220,411</w:t>
            </w:r>
            <w:r>
              <w:rPr>
                <w:rFonts w:ascii="Arial" w:cs="Arial" w:eastAsia="Arial" w:hAnsi="Arial"/>
                <w:sz w:val="25"/>
                <w:szCs w:val="25"/>
                <w:color w:val="auto"/>
                <w:vertAlign w:val="superscript"/>
              </w:rPr>
              <w:t>(4)</w:t>
            </w:r>
          </w:p>
        </w:tc>
        <w:tc>
          <w:tcPr>
            <w:tcW w:w="0" w:type="dxa"/>
            <w:vAlign w:val="bottom"/>
          </w:tcPr>
          <w:p>
            <w:pPr>
              <w:spacing w:after="0"/>
              <w:rPr>
                <w:sz w:val="1"/>
                <w:szCs w:val="1"/>
                <w:color w:val="auto"/>
              </w:rPr>
            </w:pPr>
          </w:p>
        </w:tc>
      </w:tr>
      <w:tr>
        <w:trPr>
          <w:trHeight w:val="189"/>
        </w:trPr>
        <w:tc>
          <w:tcPr>
            <w:tcW w:w="3580" w:type="dxa"/>
            <w:vAlign w:val="bottom"/>
            <w:tcBorders>
              <w:bottom w:val="single" w:sz="8" w:color="002F4D"/>
            </w:tcBorders>
          </w:tcPr>
          <w:p>
            <w:pPr>
              <w:spacing w:after="0"/>
              <w:rPr>
                <w:sz w:val="16"/>
                <w:szCs w:val="16"/>
                <w:color w:val="auto"/>
              </w:rPr>
            </w:pPr>
          </w:p>
        </w:tc>
        <w:tc>
          <w:tcPr>
            <w:tcW w:w="2580" w:type="dxa"/>
            <w:vAlign w:val="bottom"/>
            <w:tcBorders>
              <w:bottom w:val="single" w:sz="8" w:color="002F4D"/>
            </w:tcBorders>
          </w:tcPr>
          <w:p>
            <w:pPr>
              <w:jc w:val="right"/>
              <w:ind w:right="64"/>
              <w:spacing w:after="0"/>
              <w:rPr>
                <w:sz w:val="20"/>
                <w:szCs w:val="20"/>
                <w:color w:val="auto"/>
              </w:rPr>
            </w:pPr>
            <w:r>
              <w:rPr>
                <w:rFonts w:ascii="Arial" w:cs="Arial" w:eastAsia="Arial" w:hAnsi="Arial"/>
                <w:sz w:val="15"/>
                <w:szCs w:val="15"/>
                <w:color w:val="auto"/>
              </w:rPr>
              <w:t>Stock, RSUs or PSUs</w:t>
            </w:r>
          </w:p>
        </w:tc>
        <w:tc>
          <w:tcPr>
            <w:tcW w:w="300" w:type="dxa"/>
            <w:vAlign w:val="bottom"/>
            <w:tcBorders>
              <w:bottom w:val="single" w:sz="8" w:color="002F4D"/>
            </w:tcBorders>
          </w:tcPr>
          <w:p>
            <w:pPr>
              <w:ind w:left="160"/>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002F4D"/>
            </w:tcBorders>
            <w:vMerge w:val="continue"/>
          </w:tcPr>
          <w:p>
            <w:pPr>
              <w:spacing w:after="0"/>
              <w:rPr>
                <w:sz w:val="16"/>
                <w:szCs w:val="16"/>
                <w:color w:val="auto"/>
              </w:rPr>
            </w:pPr>
          </w:p>
        </w:tc>
        <w:tc>
          <w:tcPr>
            <w:tcW w:w="540" w:type="dxa"/>
            <w:vAlign w:val="bottom"/>
            <w:tcBorders>
              <w:bottom w:val="single" w:sz="8" w:color="002F4D"/>
            </w:tcBorders>
          </w:tcPr>
          <w:p>
            <w:pPr>
              <w:ind w:left="180"/>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002F4D"/>
            </w:tcBorders>
          </w:tcPr>
          <w:p>
            <w:pPr>
              <w:ind w:left="160"/>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002F4D"/>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80" w:type="dxa"/>
            <w:vAlign w:val="bottom"/>
            <w:tcBorders>
              <w:bottom w:val="single" w:sz="8" w:color="002F4D"/>
            </w:tcBorders>
            <w:shd w:val="clear" w:color="auto" w:fill="E5ECF1"/>
          </w:tcPr>
          <w:p>
            <w:pPr>
              <w:spacing w:after="0"/>
              <w:rPr>
                <w:sz w:val="15"/>
                <w:szCs w:val="15"/>
                <w:color w:val="auto"/>
              </w:rPr>
            </w:pPr>
          </w:p>
        </w:tc>
        <w:tc>
          <w:tcPr>
            <w:tcW w:w="2580" w:type="dxa"/>
            <w:vAlign w:val="bottom"/>
            <w:tcBorders>
              <w:bottom w:val="single" w:sz="8" w:color="002F4D"/>
            </w:tcBorders>
            <w:shd w:val="clear" w:color="auto" w:fill="E5ECF1"/>
          </w:tcPr>
          <w:p>
            <w:pPr>
              <w:jc w:val="right"/>
              <w:ind w:right="64"/>
              <w:spacing w:after="0"/>
              <w:rPr>
                <w:sz w:val="20"/>
                <w:szCs w:val="20"/>
                <w:color w:val="auto"/>
              </w:rPr>
            </w:pPr>
            <w:r>
              <w:rPr>
                <w:rFonts w:ascii="Arial" w:cs="Arial" w:eastAsia="Arial" w:hAnsi="Arial"/>
                <w:sz w:val="15"/>
                <w:szCs w:val="15"/>
                <w:b w:val="1"/>
                <w:bCs w:val="1"/>
                <w:color w:val="00304D"/>
              </w:rPr>
              <w:t>Total</w:t>
            </w:r>
          </w:p>
        </w:tc>
        <w:tc>
          <w:tcPr>
            <w:tcW w:w="300" w:type="dxa"/>
            <w:vAlign w:val="bottom"/>
            <w:tcBorders>
              <w:bottom w:val="single" w:sz="8" w:color="002F4D"/>
            </w:tcBorders>
            <w:shd w:val="clear" w:color="auto" w:fill="E5ECF1"/>
          </w:tcPr>
          <w:p>
            <w:pPr>
              <w:ind w:left="160"/>
              <w:spacing w:after="0"/>
              <w:rPr>
                <w:sz w:val="20"/>
                <w:szCs w:val="20"/>
                <w:color w:val="auto"/>
              </w:rPr>
            </w:pPr>
            <w:r>
              <w:rPr>
                <w:rFonts w:ascii="Arial" w:cs="Arial" w:eastAsia="Arial" w:hAnsi="Arial"/>
                <w:sz w:val="15"/>
                <w:szCs w:val="15"/>
                <w:b w:val="1"/>
                <w:bCs w:val="1"/>
                <w:color w:val="00304D"/>
              </w:rPr>
              <w:t>$</w:t>
            </w:r>
          </w:p>
        </w:tc>
        <w:tc>
          <w:tcPr>
            <w:tcW w:w="1220" w:type="dxa"/>
            <w:vAlign w:val="bottom"/>
            <w:tcBorders>
              <w:bottom w:val="single" w:sz="8" w:color="002F4D"/>
            </w:tcBorders>
            <w:shd w:val="clear" w:color="auto" w:fill="E5ECF1"/>
          </w:tcPr>
          <w:p>
            <w:pPr>
              <w:jc w:val="right"/>
              <w:ind w:right="244"/>
              <w:spacing w:after="0"/>
              <w:rPr>
                <w:sz w:val="20"/>
                <w:szCs w:val="20"/>
                <w:color w:val="auto"/>
              </w:rPr>
            </w:pPr>
            <w:r>
              <w:rPr>
                <w:rFonts w:ascii="Arial" w:cs="Arial" w:eastAsia="Arial" w:hAnsi="Arial"/>
                <w:sz w:val="15"/>
                <w:szCs w:val="15"/>
                <w:b w:val="1"/>
                <w:bCs w:val="1"/>
                <w:color w:val="00304D"/>
              </w:rPr>
              <w:t>3,211,200</w:t>
            </w:r>
          </w:p>
        </w:tc>
        <w:tc>
          <w:tcPr>
            <w:tcW w:w="540" w:type="dxa"/>
            <w:vAlign w:val="bottom"/>
            <w:tcBorders>
              <w:bottom w:val="single" w:sz="8" w:color="002F4D"/>
            </w:tcBorders>
            <w:shd w:val="clear" w:color="auto" w:fill="E5ECF1"/>
          </w:tcPr>
          <w:p>
            <w:pPr>
              <w:ind w:left="180"/>
              <w:spacing w:after="0"/>
              <w:rPr>
                <w:sz w:val="20"/>
                <w:szCs w:val="20"/>
                <w:color w:val="auto"/>
              </w:rPr>
            </w:pPr>
            <w:r>
              <w:rPr>
                <w:rFonts w:ascii="Arial" w:cs="Arial" w:eastAsia="Arial" w:hAnsi="Arial"/>
                <w:sz w:val="15"/>
                <w:szCs w:val="15"/>
                <w:b w:val="1"/>
                <w:bCs w:val="1"/>
                <w:color w:val="00304D"/>
              </w:rPr>
              <w:t>$</w:t>
            </w:r>
          </w:p>
        </w:tc>
        <w:tc>
          <w:tcPr>
            <w:tcW w:w="1360" w:type="dxa"/>
            <w:vAlign w:val="bottom"/>
            <w:tcBorders>
              <w:bottom w:val="single" w:sz="8" w:color="002F4D"/>
            </w:tcBorders>
            <w:shd w:val="clear" w:color="auto" w:fill="E5ECF1"/>
          </w:tcPr>
          <w:p>
            <w:pPr>
              <w:jc w:val="right"/>
              <w:ind w:right="244"/>
              <w:spacing w:after="0"/>
              <w:rPr>
                <w:sz w:val="20"/>
                <w:szCs w:val="20"/>
                <w:color w:val="auto"/>
              </w:rPr>
            </w:pPr>
            <w:r>
              <w:rPr>
                <w:rFonts w:ascii="Arial" w:cs="Arial" w:eastAsia="Arial" w:hAnsi="Arial"/>
                <w:sz w:val="15"/>
                <w:szCs w:val="15"/>
                <w:b w:val="1"/>
                <w:bCs w:val="1"/>
                <w:color w:val="00304D"/>
              </w:rPr>
              <w:t>—</w:t>
            </w:r>
          </w:p>
        </w:tc>
        <w:tc>
          <w:tcPr>
            <w:tcW w:w="480" w:type="dxa"/>
            <w:vAlign w:val="bottom"/>
            <w:tcBorders>
              <w:bottom w:val="single" w:sz="8" w:color="002F4D"/>
            </w:tcBorders>
            <w:shd w:val="clear" w:color="auto" w:fill="E5ECF1"/>
          </w:tcPr>
          <w:p>
            <w:pPr>
              <w:ind w:left="160"/>
              <w:spacing w:after="0"/>
              <w:rPr>
                <w:sz w:val="20"/>
                <w:szCs w:val="20"/>
                <w:color w:val="auto"/>
              </w:rPr>
            </w:pPr>
            <w:r>
              <w:rPr>
                <w:rFonts w:ascii="Arial" w:cs="Arial" w:eastAsia="Arial" w:hAnsi="Arial"/>
                <w:sz w:val="15"/>
                <w:szCs w:val="15"/>
                <w:b w:val="1"/>
                <w:bCs w:val="1"/>
                <w:color w:val="00304D"/>
              </w:rPr>
              <w:t>$</w:t>
            </w:r>
          </w:p>
        </w:tc>
        <w:tc>
          <w:tcPr>
            <w:tcW w:w="1180" w:type="dxa"/>
            <w:vAlign w:val="bottom"/>
            <w:tcBorders>
              <w:bottom w:val="single" w:sz="8" w:color="002F4D"/>
            </w:tcBorders>
            <w:shd w:val="clear" w:color="auto" w:fill="E5ECF1"/>
          </w:tcPr>
          <w:p>
            <w:pPr>
              <w:jc w:val="right"/>
              <w:ind w:right="124"/>
              <w:spacing w:after="0"/>
              <w:rPr>
                <w:sz w:val="20"/>
                <w:szCs w:val="20"/>
                <w:color w:val="auto"/>
              </w:rPr>
            </w:pPr>
            <w:r>
              <w:rPr>
                <w:rFonts w:ascii="Arial" w:cs="Arial" w:eastAsia="Arial" w:hAnsi="Arial"/>
                <w:sz w:val="15"/>
                <w:szCs w:val="15"/>
                <w:b w:val="1"/>
                <w:bCs w:val="1"/>
                <w:color w:val="00304D"/>
              </w:rPr>
              <w:t>5,220,411</w:t>
            </w:r>
          </w:p>
        </w:tc>
        <w:tc>
          <w:tcPr>
            <w:tcW w:w="0" w:type="dxa"/>
            <w:vAlign w:val="bottom"/>
          </w:tcPr>
          <w:p>
            <w:pPr>
              <w:spacing w:after="0"/>
              <w:rPr>
                <w:sz w:val="1"/>
                <w:szCs w:val="1"/>
                <w:color w:val="auto"/>
              </w:rPr>
            </w:pPr>
          </w:p>
        </w:tc>
      </w:tr>
      <w:tr>
        <w:trPr>
          <w:trHeight w:val="182"/>
        </w:trPr>
        <w:tc>
          <w:tcPr>
            <w:tcW w:w="358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auto"/>
              </w:rPr>
              <w:t>James K. Pool III</w:t>
            </w:r>
          </w:p>
        </w:tc>
        <w:tc>
          <w:tcPr>
            <w:tcW w:w="2580" w:type="dxa"/>
            <w:vAlign w:val="bottom"/>
            <w:tcBorders>
              <w:bottom w:val="single" w:sz="8" w:color="002F4D"/>
            </w:tcBorders>
          </w:tcPr>
          <w:p>
            <w:pPr>
              <w:jc w:val="right"/>
              <w:ind w:right="64"/>
              <w:spacing w:after="0"/>
              <w:rPr>
                <w:sz w:val="20"/>
                <w:szCs w:val="20"/>
                <w:color w:val="auto"/>
              </w:rPr>
            </w:pPr>
            <w:r>
              <w:rPr>
                <w:rFonts w:ascii="Arial" w:cs="Arial" w:eastAsia="Arial" w:hAnsi="Arial"/>
                <w:sz w:val="15"/>
                <w:szCs w:val="15"/>
                <w:color w:val="auto"/>
              </w:rPr>
              <w:t>Cash Severance</w:t>
            </w:r>
          </w:p>
        </w:tc>
        <w:tc>
          <w:tcPr>
            <w:tcW w:w="300" w:type="dxa"/>
            <w:vAlign w:val="bottom"/>
            <w:tcBorders>
              <w:bottom w:val="single" w:sz="8" w:color="002F4D"/>
            </w:tcBorders>
          </w:tcPr>
          <w:p>
            <w:pPr>
              <w:ind w:left="160"/>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002F4D"/>
            </w:tcBorders>
          </w:tcPr>
          <w:p>
            <w:pPr>
              <w:ind w:left="180"/>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002F4D"/>
            </w:tcBorders>
          </w:tcPr>
          <w:p>
            <w:pPr>
              <w:ind w:left="160"/>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002F4D"/>
            </w:tcBorders>
          </w:tcPr>
          <w:p>
            <w:pPr>
              <w:jc w:val="right"/>
              <w:ind w:right="1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7"/>
        </w:trPr>
        <w:tc>
          <w:tcPr>
            <w:tcW w:w="3580" w:type="dxa"/>
            <w:vAlign w:val="bottom"/>
          </w:tcPr>
          <w:p>
            <w:pPr>
              <w:spacing w:after="0"/>
              <w:rPr>
                <w:sz w:val="13"/>
                <w:szCs w:val="13"/>
                <w:color w:val="auto"/>
              </w:rPr>
            </w:pPr>
          </w:p>
        </w:tc>
        <w:tc>
          <w:tcPr>
            <w:tcW w:w="2580" w:type="dxa"/>
            <w:vAlign w:val="bottom"/>
          </w:tcPr>
          <w:p>
            <w:pPr>
              <w:jc w:val="right"/>
              <w:ind w:right="64"/>
              <w:spacing w:after="0" w:line="157" w:lineRule="exact"/>
              <w:rPr>
                <w:sz w:val="20"/>
                <w:szCs w:val="20"/>
                <w:color w:val="auto"/>
              </w:rPr>
            </w:pPr>
            <w:r>
              <w:rPr>
                <w:rFonts w:ascii="Arial" w:cs="Arial" w:eastAsia="Arial" w:hAnsi="Arial"/>
                <w:sz w:val="15"/>
                <w:szCs w:val="15"/>
                <w:color w:val="auto"/>
              </w:rPr>
              <w:t>Accelerated Vesting of Restricted</w:t>
            </w:r>
          </w:p>
        </w:tc>
        <w:tc>
          <w:tcPr>
            <w:tcW w:w="300" w:type="dxa"/>
            <w:vAlign w:val="bottom"/>
          </w:tcPr>
          <w:p>
            <w:pPr>
              <w:spacing w:after="0"/>
              <w:rPr>
                <w:sz w:val="13"/>
                <w:szCs w:val="13"/>
                <w:color w:val="auto"/>
              </w:rPr>
            </w:pPr>
          </w:p>
        </w:tc>
        <w:tc>
          <w:tcPr>
            <w:tcW w:w="1220" w:type="dxa"/>
            <w:vAlign w:val="bottom"/>
            <w:vMerge w:val="restart"/>
          </w:tcPr>
          <w:p>
            <w:pPr>
              <w:jc w:val="right"/>
              <w:ind w:right="84"/>
              <w:spacing w:after="0"/>
              <w:rPr>
                <w:sz w:val="20"/>
                <w:szCs w:val="20"/>
                <w:color w:val="auto"/>
              </w:rPr>
            </w:pPr>
            <w:r>
              <w:rPr>
                <w:rFonts w:ascii="Arial" w:cs="Arial" w:eastAsia="Arial" w:hAnsi="Arial"/>
                <w:sz w:val="15"/>
                <w:szCs w:val="15"/>
                <w:color w:val="auto"/>
              </w:rPr>
              <w:t>4,398,438</w:t>
            </w:r>
            <w:r>
              <w:rPr>
                <w:rFonts w:ascii="Arial" w:cs="Arial" w:eastAsia="Arial" w:hAnsi="Arial"/>
                <w:sz w:val="25"/>
                <w:szCs w:val="25"/>
                <w:color w:val="auto"/>
                <w:vertAlign w:val="superscript"/>
              </w:rPr>
              <w:t>(5)</w:t>
            </w:r>
          </w:p>
        </w:tc>
        <w:tc>
          <w:tcPr>
            <w:tcW w:w="5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7,147,855</w:t>
            </w:r>
            <w:r>
              <w:rPr>
                <w:rFonts w:ascii="Arial" w:cs="Arial" w:eastAsia="Arial" w:hAnsi="Arial"/>
                <w:sz w:val="25"/>
                <w:szCs w:val="25"/>
                <w:color w:val="auto"/>
                <w:vertAlign w:val="superscript"/>
              </w:rPr>
              <w:t>(5)</w:t>
            </w:r>
          </w:p>
        </w:tc>
        <w:tc>
          <w:tcPr>
            <w:tcW w:w="0" w:type="dxa"/>
            <w:vAlign w:val="bottom"/>
          </w:tcPr>
          <w:p>
            <w:pPr>
              <w:spacing w:after="0"/>
              <w:rPr>
                <w:sz w:val="1"/>
                <w:szCs w:val="1"/>
                <w:color w:val="auto"/>
              </w:rPr>
            </w:pPr>
          </w:p>
        </w:tc>
      </w:tr>
      <w:tr>
        <w:trPr>
          <w:trHeight w:val="189"/>
        </w:trPr>
        <w:tc>
          <w:tcPr>
            <w:tcW w:w="3580" w:type="dxa"/>
            <w:vAlign w:val="bottom"/>
            <w:tcBorders>
              <w:bottom w:val="single" w:sz="8" w:color="002F4D"/>
            </w:tcBorders>
          </w:tcPr>
          <w:p>
            <w:pPr>
              <w:spacing w:after="0"/>
              <w:rPr>
                <w:sz w:val="16"/>
                <w:szCs w:val="16"/>
                <w:color w:val="auto"/>
              </w:rPr>
            </w:pPr>
          </w:p>
        </w:tc>
        <w:tc>
          <w:tcPr>
            <w:tcW w:w="2580" w:type="dxa"/>
            <w:vAlign w:val="bottom"/>
            <w:tcBorders>
              <w:bottom w:val="single" w:sz="8" w:color="002F4D"/>
            </w:tcBorders>
          </w:tcPr>
          <w:p>
            <w:pPr>
              <w:jc w:val="right"/>
              <w:ind w:right="64"/>
              <w:spacing w:after="0"/>
              <w:rPr>
                <w:sz w:val="20"/>
                <w:szCs w:val="20"/>
                <w:color w:val="auto"/>
              </w:rPr>
            </w:pPr>
            <w:r>
              <w:rPr>
                <w:rFonts w:ascii="Arial" w:cs="Arial" w:eastAsia="Arial" w:hAnsi="Arial"/>
                <w:sz w:val="15"/>
                <w:szCs w:val="15"/>
                <w:color w:val="auto"/>
              </w:rPr>
              <w:t>Stock, RSUs or PSUs</w:t>
            </w:r>
          </w:p>
        </w:tc>
        <w:tc>
          <w:tcPr>
            <w:tcW w:w="300" w:type="dxa"/>
            <w:vAlign w:val="bottom"/>
            <w:tcBorders>
              <w:bottom w:val="single" w:sz="8" w:color="002F4D"/>
            </w:tcBorders>
          </w:tcPr>
          <w:p>
            <w:pPr>
              <w:ind w:left="160"/>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002F4D"/>
            </w:tcBorders>
            <w:vMerge w:val="continue"/>
          </w:tcPr>
          <w:p>
            <w:pPr>
              <w:spacing w:after="0"/>
              <w:rPr>
                <w:sz w:val="16"/>
                <w:szCs w:val="16"/>
                <w:color w:val="auto"/>
              </w:rPr>
            </w:pPr>
          </w:p>
        </w:tc>
        <w:tc>
          <w:tcPr>
            <w:tcW w:w="540" w:type="dxa"/>
            <w:vAlign w:val="bottom"/>
            <w:tcBorders>
              <w:bottom w:val="single" w:sz="8" w:color="002F4D"/>
            </w:tcBorders>
          </w:tcPr>
          <w:p>
            <w:pPr>
              <w:ind w:left="180"/>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002F4D"/>
            </w:tcBorders>
          </w:tcPr>
          <w:p>
            <w:pPr>
              <w:ind w:left="160"/>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002F4D"/>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80" w:type="dxa"/>
            <w:vAlign w:val="bottom"/>
            <w:tcBorders>
              <w:bottom w:val="single" w:sz="8" w:color="002F4D"/>
            </w:tcBorders>
            <w:shd w:val="clear" w:color="auto" w:fill="E5ECF1"/>
          </w:tcPr>
          <w:p>
            <w:pPr>
              <w:spacing w:after="0"/>
              <w:rPr>
                <w:sz w:val="15"/>
                <w:szCs w:val="15"/>
                <w:color w:val="auto"/>
              </w:rPr>
            </w:pPr>
          </w:p>
        </w:tc>
        <w:tc>
          <w:tcPr>
            <w:tcW w:w="2580" w:type="dxa"/>
            <w:vAlign w:val="bottom"/>
            <w:tcBorders>
              <w:bottom w:val="single" w:sz="8" w:color="002F4D"/>
            </w:tcBorders>
            <w:shd w:val="clear" w:color="auto" w:fill="E5ECF1"/>
          </w:tcPr>
          <w:p>
            <w:pPr>
              <w:jc w:val="right"/>
              <w:ind w:right="64"/>
              <w:spacing w:after="0"/>
              <w:rPr>
                <w:sz w:val="20"/>
                <w:szCs w:val="20"/>
                <w:color w:val="auto"/>
              </w:rPr>
            </w:pPr>
            <w:r>
              <w:rPr>
                <w:rFonts w:ascii="Arial" w:cs="Arial" w:eastAsia="Arial" w:hAnsi="Arial"/>
                <w:sz w:val="15"/>
                <w:szCs w:val="15"/>
                <w:b w:val="1"/>
                <w:bCs w:val="1"/>
                <w:color w:val="00304D"/>
              </w:rPr>
              <w:t>Total</w:t>
            </w:r>
          </w:p>
        </w:tc>
        <w:tc>
          <w:tcPr>
            <w:tcW w:w="300" w:type="dxa"/>
            <w:vAlign w:val="bottom"/>
            <w:tcBorders>
              <w:bottom w:val="single" w:sz="8" w:color="002F4D"/>
            </w:tcBorders>
            <w:shd w:val="clear" w:color="auto" w:fill="E5ECF1"/>
          </w:tcPr>
          <w:p>
            <w:pPr>
              <w:ind w:left="160"/>
              <w:spacing w:after="0"/>
              <w:rPr>
                <w:sz w:val="20"/>
                <w:szCs w:val="20"/>
                <w:color w:val="auto"/>
              </w:rPr>
            </w:pPr>
            <w:r>
              <w:rPr>
                <w:rFonts w:ascii="Arial" w:cs="Arial" w:eastAsia="Arial" w:hAnsi="Arial"/>
                <w:sz w:val="15"/>
                <w:szCs w:val="15"/>
                <w:b w:val="1"/>
                <w:bCs w:val="1"/>
                <w:color w:val="00304D"/>
              </w:rPr>
              <w:t>$</w:t>
            </w:r>
          </w:p>
        </w:tc>
        <w:tc>
          <w:tcPr>
            <w:tcW w:w="1220" w:type="dxa"/>
            <w:vAlign w:val="bottom"/>
            <w:tcBorders>
              <w:bottom w:val="single" w:sz="8" w:color="002F4D"/>
            </w:tcBorders>
            <w:shd w:val="clear" w:color="auto" w:fill="E5ECF1"/>
          </w:tcPr>
          <w:p>
            <w:pPr>
              <w:jc w:val="right"/>
              <w:ind w:right="244"/>
              <w:spacing w:after="0"/>
              <w:rPr>
                <w:sz w:val="20"/>
                <w:szCs w:val="20"/>
                <w:color w:val="auto"/>
              </w:rPr>
            </w:pPr>
            <w:r>
              <w:rPr>
                <w:rFonts w:ascii="Arial" w:cs="Arial" w:eastAsia="Arial" w:hAnsi="Arial"/>
                <w:sz w:val="15"/>
                <w:szCs w:val="15"/>
                <w:b w:val="1"/>
                <w:bCs w:val="1"/>
                <w:color w:val="00304D"/>
              </w:rPr>
              <w:t>4,398,438</w:t>
            </w:r>
          </w:p>
        </w:tc>
        <w:tc>
          <w:tcPr>
            <w:tcW w:w="540" w:type="dxa"/>
            <w:vAlign w:val="bottom"/>
            <w:tcBorders>
              <w:bottom w:val="single" w:sz="8" w:color="002F4D"/>
            </w:tcBorders>
            <w:shd w:val="clear" w:color="auto" w:fill="E5ECF1"/>
          </w:tcPr>
          <w:p>
            <w:pPr>
              <w:ind w:left="180"/>
              <w:spacing w:after="0"/>
              <w:rPr>
                <w:sz w:val="20"/>
                <w:szCs w:val="20"/>
                <w:color w:val="auto"/>
              </w:rPr>
            </w:pPr>
            <w:r>
              <w:rPr>
                <w:rFonts w:ascii="Arial" w:cs="Arial" w:eastAsia="Arial" w:hAnsi="Arial"/>
                <w:sz w:val="15"/>
                <w:szCs w:val="15"/>
                <w:b w:val="1"/>
                <w:bCs w:val="1"/>
                <w:color w:val="00304D"/>
              </w:rPr>
              <w:t>$</w:t>
            </w:r>
          </w:p>
        </w:tc>
        <w:tc>
          <w:tcPr>
            <w:tcW w:w="1360" w:type="dxa"/>
            <w:vAlign w:val="bottom"/>
            <w:tcBorders>
              <w:bottom w:val="single" w:sz="8" w:color="002F4D"/>
            </w:tcBorders>
            <w:shd w:val="clear" w:color="auto" w:fill="E5ECF1"/>
          </w:tcPr>
          <w:p>
            <w:pPr>
              <w:jc w:val="right"/>
              <w:ind w:right="244"/>
              <w:spacing w:after="0"/>
              <w:rPr>
                <w:sz w:val="20"/>
                <w:szCs w:val="20"/>
                <w:color w:val="auto"/>
              </w:rPr>
            </w:pPr>
            <w:r>
              <w:rPr>
                <w:rFonts w:ascii="Arial" w:cs="Arial" w:eastAsia="Arial" w:hAnsi="Arial"/>
                <w:sz w:val="15"/>
                <w:szCs w:val="15"/>
                <w:b w:val="1"/>
                <w:bCs w:val="1"/>
                <w:color w:val="00304D"/>
              </w:rPr>
              <w:t>—</w:t>
            </w:r>
          </w:p>
        </w:tc>
        <w:tc>
          <w:tcPr>
            <w:tcW w:w="480" w:type="dxa"/>
            <w:vAlign w:val="bottom"/>
            <w:tcBorders>
              <w:bottom w:val="single" w:sz="8" w:color="002F4D"/>
            </w:tcBorders>
            <w:shd w:val="clear" w:color="auto" w:fill="E5ECF1"/>
          </w:tcPr>
          <w:p>
            <w:pPr>
              <w:ind w:left="160"/>
              <w:spacing w:after="0"/>
              <w:rPr>
                <w:sz w:val="20"/>
                <w:szCs w:val="20"/>
                <w:color w:val="auto"/>
              </w:rPr>
            </w:pPr>
            <w:r>
              <w:rPr>
                <w:rFonts w:ascii="Arial" w:cs="Arial" w:eastAsia="Arial" w:hAnsi="Arial"/>
                <w:sz w:val="15"/>
                <w:szCs w:val="15"/>
                <w:b w:val="1"/>
                <w:bCs w:val="1"/>
                <w:color w:val="00304D"/>
              </w:rPr>
              <w:t>$</w:t>
            </w:r>
          </w:p>
        </w:tc>
        <w:tc>
          <w:tcPr>
            <w:tcW w:w="1180" w:type="dxa"/>
            <w:vAlign w:val="bottom"/>
            <w:tcBorders>
              <w:bottom w:val="single" w:sz="8" w:color="002F4D"/>
            </w:tcBorders>
            <w:shd w:val="clear" w:color="auto" w:fill="E5ECF1"/>
          </w:tcPr>
          <w:p>
            <w:pPr>
              <w:jc w:val="right"/>
              <w:ind w:right="124"/>
              <w:spacing w:after="0"/>
              <w:rPr>
                <w:sz w:val="20"/>
                <w:szCs w:val="20"/>
                <w:color w:val="auto"/>
              </w:rPr>
            </w:pPr>
            <w:r>
              <w:rPr>
                <w:rFonts w:ascii="Arial" w:cs="Arial" w:eastAsia="Arial" w:hAnsi="Arial"/>
                <w:sz w:val="15"/>
                <w:szCs w:val="15"/>
                <w:b w:val="1"/>
                <w:bCs w:val="1"/>
                <w:color w:val="00304D"/>
              </w:rPr>
              <w:t>7,147,855</w:t>
            </w:r>
          </w:p>
        </w:tc>
        <w:tc>
          <w:tcPr>
            <w:tcW w:w="0" w:type="dxa"/>
            <w:vAlign w:val="bottom"/>
          </w:tcPr>
          <w:p>
            <w:pPr>
              <w:spacing w:after="0"/>
              <w:rPr>
                <w:sz w:val="1"/>
                <w:szCs w:val="1"/>
                <w:color w:val="auto"/>
              </w:rPr>
            </w:pPr>
          </w:p>
        </w:tc>
      </w:tr>
      <w:tr>
        <w:trPr>
          <w:trHeight w:val="182"/>
        </w:trPr>
        <w:tc>
          <w:tcPr>
            <w:tcW w:w="358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auto"/>
              </w:rPr>
              <w:t>Steven P. Spittle</w:t>
            </w:r>
          </w:p>
        </w:tc>
        <w:tc>
          <w:tcPr>
            <w:tcW w:w="2580" w:type="dxa"/>
            <w:vAlign w:val="bottom"/>
            <w:tcBorders>
              <w:bottom w:val="single" w:sz="8" w:color="002F4D"/>
            </w:tcBorders>
          </w:tcPr>
          <w:p>
            <w:pPr>
              <w:jc w:val="right"/>
              <w:ind w:right="64"/>
              <w:spacing w:after="0"/>
              <w:rPr>
                <w:sz w:val="20"/>
                <w:szCs w:val="20"/>
                <w:color w:val="auto"/>
              </w:rPr>
            </w:pPr>
            <w:r>
              <w:rPr>
                <w:rFonts w:ascii="Arial" w:cs="Arial" w:eastAsia="Arial" w:hAnsi="Arial"/>
                <w:sz w:val="15"/>
                <w:szCs w:val="15"/>
                <w:color w:val="auto"/>
              </w:rPr>
              <w:t>Cash Severance</w:t>
            </w:r>
          </w:p>
        </w:tc>
        <w:tc>
          <w:tcPr>
            <w:tcW w:w="300" w:type="dxa"/>
            <w:vAlign w:val="bottom"/>
            <w:tcBorders>
              <w:bottom w:val="single" w:sz="8" w:color="002F4D"/>
            </w:tcBorders>
          </w:tcPr>
          <w:p>
            <w:pPr>
              <w:ind w:left="160"/>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002F4D"/>
            </w:tcBorders>
          </w:tcPr>
          <w:p>
            <w:pPr>
              <w:ind w:left="180"/>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002F4D"/>
            </w:tcBorders>
          </w:tcPr>
          <w:p>
            <w:pPr>
              <w:ind w:left="160"/>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002F4D"/>
            </w:tcBorders>
          </w:tcPr>
          <w:p>
            <w:pPr>
              <w:jc w:val="right"/>
              <w:ind w:right="1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7"/>
        </w:trPr>
        <w:tc>
          <w:tcPr>
            <w:tcW w:w="3580" w:type="dxa"/>
            <w:vAlign w:val="bottom"/>
          </w:tcPr>
          <w:p>
            <w:pPr>
              <w:spacing w:after="0"/>
              <w:rPr>
                <w:sz w:val="13"/>
                <w:szCs w:val="13"/>
                <w:color w:val="auto"/>
              </w:rPr>
            </w:pPr>
          </w:p>
        </w:tc>
        <w:tc>
          <w:tcPr>
            <w:tcW w:w="2580" w:type="dxa"/>
            <w:vAlign w:val="bottom"/>
          </w:tcPr>
          <w:p>
            <w:pPr>
              <w:jc w:val="right"/>
              <w:ind w:right="64"/>
              <w:spacing w:after="0" w:line="157" w:lineRule="exact"/>
              <w:rPr>
                <w:sz w:val="20"/>
                <w:szCs w:val="20"/>
                <w:color w:val="auto"/>
              </w:rPr>
            </w:pPr>
            <w:r>
              <w:rPr>
                <w:rFonts w:ascii="Arial" w:cs="Arial" w:eastAsia="Arial" w:hAnsi="Arial"/>
                <w:sz w:val="15"/>
                <w:szCs w:val="15"/>
                <w:color w:val="auto"/>
              </w:rPr>
              <w:t>Accelerated Vesting of Restricted</w:t>
            </w:r>
          </w:p>
        </w:tc>
        <w:tc>
          <w:tcPr>
            <w:tcW w:w="300" w:type="dxa"/>
            <w:vAlign w:val="bottom"/>
          </w:tcPr>
          <w:p>
            <w:pPr>
              <w:spacing w:after="0"/>
              <w:rPr>
                <w:sz w:val="13"/>
                <w:szCs w:val="13"/>
                <w:color w:val="auto"/>
              </w:rPr>
            </w:pPr>
          </w:p>
        </w:tc>
        <w:tc>
          <w:tcPr>
            <w:tcW w:w="1220" w:type="dxa"/>
            <w:vAlign w:val="bottom"/>
            <w:vMerge w:val="restart"/>
          </w:tcPr>
          <w:p>
            <w:pPr>
              <w:jc w:val="right"/>
              <w:ind w:right="84"/>
              <w:spacing w:after="0"/>
              <w:rPr>
                <w:sz w:val="20"/>
                <w:szCs w:val="20"/>
                <w:color w:val="auto"/>
              </w:rPr>
            </w:pPr>
            <w:r>
              <w:rPr>
                <w:rFonts w:ascii="Arial" w:cs="Arial" w:eastAsia="Arial" w:hAnsi="Arial"/>
                <w:sz w:val="15"/>
                <w:szCs w:val="15"/>
                <w:color w:val="auto"/>
              </w:rPr>
              <w:t>4,398,438</w:t>
            </w:r>
            <w:r>
              <w:rPr>
                <w:rFonts w:ascii="Arial" w:cs="Arial" w:eastAsia="Arial" w:hAnsi="Arial"/>
                <w:sz w:val="25"/>
                <w:szCs w:val="25"/>
                <w:color w:val="auto"/>
                <w:vertAlign w:val="superscript"/>
              </w:rPr>
              <w:t>(6)</w:t>
            </w:r>
          </w:p>
        </w:tc>
        <w:tc>
          <w:tcPr>
            <w:tcW w:w="5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7,147,855</w:t>
            </w:r>
            <w:r>
              <w:rPr>
                <w:rFonts w:ascii="Arial" w:cs="Arial" w:eastAsia="Arial" w:hAnsi="Arial"/>
                <w:sz w:val="25"/>
                <w:szCs w:val="25"/>
                <w:color w:val="auto"/>
                <w:vertAlign w:val="superscript"/>
              </w:rPr>
              <w:t>(6)</w:t>
            </w:r>
          </w:p>
        </w:tc>
        <w:tc>
          <w:tcPr>
            <w:tcW w:w="0" w:type="dxa"/>
            <w:vAlign w:val="bottom"/>
          </w:tcPr>
          <w:p>
            <w:pPr>
              <w:spacing w:after="0"/>
              <w:rPr>
                <w:sz w:val="1"/>
                <w:szCs w:val="1"/>
                <w:color w:val="auto"/>
              </w:rPr>
            </w:pPr>
          </w:p>
        </w:tc>
      </w:tr>
      <w:tr>
        <w:trPr>
          <w:trHeight w:val="189"/>
        </w:trPr>
        <w:tc>
          <w:tcPr>
            <w:tcW w:w="3580" w:type="dxa"/>
            <w:vAlign w:val="bottom"/>
            <w:tcBorders>
              <w:bottom w:val="single" w:sz="8" w:color="002F4D"/>
            </w:tcBorders>
          </w:tcPr>
          <w:p>
            <w:pPr>
              <w:spacing w:after="0"/>
              <w:rPr>
                <w:sz w:val="16"/>
                <w:szCs w:val="16"/>
                <w:color w:val="auto"/>
              </w:rPr>
            </w:pPr>
          </w:p>
        </w:tc>
        <w:tc>
          <w:tcPr>
            <w:tcW w:w="2580" w:type="dxa"/>
            <w:vAlign w:val="bottom"/>
            <w:tcBorders>
              <w:bottom w:val="single" w:sz="8" w:color="002F4D"/>
            </w:tcBorders>
          </w:tcPr>
          <w:p>
            <w:pPr>
              <w:jc w:val="right"/>
              <w:ind w:right="64"/>
              <w:spacing w:after="0"/>
              <w:rPr>
                <w:sz w:val="20"/>
                <w:szCs w:val="20"/>
                <w:color w:val="auto"/>
              </w:rPr>
            </w:pPr>
            <w:r>
              <w:rPr>
                <w:rFonts w:ascii="Arial" w:cs="Arial" w:eastAsia="Arial" w:hAnsi="Arial"/>
                <w:sz w:val="15"/>
                <w:szCs w:val="15"/>
                <w:color w:val="auto"/>
              </w:rPr>
              <w:t>Stock, RSUs or PSUs</w:t>
            </w:r>
          </w:p>
        </w:tc>
        <w:tc>
          <w:tcPr>
            <w:tcW w:w="300" w:type="dxa"/>
            <w:vAlign w:val="bottom"/>
            <w:tcBorders>
              <w:bottom w:val="single" w:sz="8" w:color="002F4D"/>
            </w:tcBorders>
          </w:tcPr>
          <w:p>
            <w:pPr>
              <w:ind w:left="160"/>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002F4D"/>
            </w:tcBorders>
            <w:vMerge w:val="continue"/>
          </w:tcPr>
          <w:p>
            <w:pPr>
              <w:spacing w:after="0"/>
              <w:rPr>
                <w:sz w:val="16"/>
                <w:szCs w:val="16"/>
                <w:color w:val="auto"/>
              </w:rPr>
            </w:pPr>
          </w:p>
        </w:tc>
        <w:tc>
          <w:tcPr>
            <w:tcW w:w="540" w:type="dxa"/>
            <w:vAlign w:val="bottom"/>
            <w:tcBorders>
              <w:bottom w:val="single" w:sz="8" w:color="002F4D"/>
            </w:tcBorders>
          </w:tcPr>
          <w:p>
            <w:pPr>
              <w:ind w:left="180"/>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002F4D"/>
            </w:tcBorders>
          </w:tcPr>
          <w:p>
            <w:pPr>
              <w:ind w:left="160"/>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002F4D"/>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80" w:type="dxa"/>
            <w:vAlign w:val="bottom"/>
            <w:tcBorders>
              <w:bottom w:val="single" w:sz="8" w:color="002F4D"/>
            </w:tcBorders>
            <w:shd w:val="clear" w:color="auto" w:fill="E5ECF1"/>
          </w:tcPr>
          <w:p>
            <w:pPr>
              <w:spacing w:after="0"/>
              <w:rPr>
                <w:sz w:val="15"/>
                <w:szCs w:val="15"/>
                <w:color w:val="auto"/>
              </w:rPr>
            </w:pPr>
          </w:p>
        </w:tc>
        <w:tc>
          <w:tcPr>
            <w:tcW w:w="2580" w:type="dxa"/>
            <w:vAlign w:val="bottom"/>
            <w:tcBorders>
              <w:bottom w:val="single" w:sz="8" w:color="002F4D"/>
            </w:tcBorders>
            <w:shd w:val="clear" w:color="auto" w:fill="E5ECF1"/>
          </w:tcPr>
          <w:p>
            <w:pPr>
              <w:jc w:val="right"/>
              <w:ind w:right="64"/>
              <w:spacing w:after="0"/>
              <w:rPr>
                <w:sz w:val="20"/>
                <w:szCs w:val="20"/>
                <w:color w:val="auto"/>
              </w:rPr>
            </w:pPr>
            <w:r>
              <w:rPr>
                <w:rFonts w:ascii="Arial" w:cs="Arial" w:eastAsia="Arial" w:hAnsi="Arial"/>
                <w:sz w:val="15"/>
                <w:szCs w:val="15"/>
                <w:b w:val="1"/>
                <w:bCs w:val="1"/>
                <w:color w:val="00304D"/>
              </w:rPr>
              <w:t>Total</w:t>
            </w:r>
          </w:p>
        </w:tc>
        <w:tc>
          <w:tcPr>
            <w:tcW w:w="300" w:type="dxa"/>
            <w:vAlign w:val="bottom"/>
            <w:tcBorders>
              <w:bottom w:val="single" w:sz="8" w:color="002F4D"/>
            </w:tcBorders>
            <w:shd w:val="clear" w:color="auto" w:fill="E5ECF1"/>
          </w:tcPr>
          <w:p>
            <w:pPr>
              <w:ind w:left="160"/>
              <w:spacing w:after="0"/>
              <w:rPr>
                <w:sz w:val="20"/>
                <w:szCs w:val="20"/>
                <w:color w:val="auto"/>
              </w:rPr>
            </w:pPr>
            <w:r>
              <w:rPr>
                <w:rFonts w:ascii="Arial" w:cs="Arial" w:eastAsia="Arial" w:hAnsi="Arial"/>
                <w:sz w:val="15"/>
                <w:szCs w:val="15"/>
                <w:b w:val="1"/>
                <w:bCs w:val="1"/>
                <w:color w:val="00304D"/>
              </w:rPr>
              <w:t>$</w:t>
            </w:r>
          </w:p>
        </w:tc>
        <w:tc>
          <w:tcPr>
            <w:tcW w:w="1220" w:type="dxa"/>
            <w:vAlign w:val="bottom"/>
            <w:tcBorders>
              <w:bottom w:val="single" w:sz="8" w:color="002F4D"/>
            </w:tcBorders>
            <w:shd w:val="clear" w:color="auto" w:fill="E5ECF1"/>
          </w:tcPr>
          <w:p>
            <w:pPr>
              <w:jc w:val="right"/>
              <w:ind w:right="244"/>
              <w:spacing w:after="0"/>
              <w:rPr>
                <w:sz w:val="20"/>
                <w:szCs w:val="20"/>
                <w:color w:val="auto"/>
              </w:rPr>
            </w:pPr>
            <w:r>
              <w:rPr>
                <w:rFonts w:ascii="Arial" w:cs="Arial" w:eastAsia="Arial" w:hAnsi="Arial"/>
                <w:sz w:val="15"/>
                <w:szCs w:val="15"/>
                <w:b w:val="1"/>
                <w:bCs w:val="1"/>
                <w:color w:val="00304D"/>
              </w:rPr>
              <w:t>4,398,438</w:t>
            </w:r>
          </w:p>
        </w:tc>
        <w:tc>
          <w:tcPr>
            <w:tcW w:w="540" w:type="dxa"/>
            <w:vAlign w:val="bottom"/>
            <w:tcBorders>
              <w:bottom w:val="single" w:sz="8" w:color="002F4D"/>
            </w:tcBorders>
            <w:shd w:val="clear" w:color="auto" w:fill="E5ECF1"/>
          </w:tcPr>
          <w:p>
            <w:pPr>
              <w:ind w:left="180"/>
              <w:spacing w:after="0"/>
              <w:rPr>
                <w:sz w:val="20"/>
                <w:szCs w:val="20"/>
                <w:color w:val="auto"/>
              </w:rPr>
            </w:pPr>
            <w:r>
              <w:rPr>
                <w:rFonts w:ascii="Arial" w:cs="Arial" w:eastAsia="Arial" w:hAnsi="Arial"/>
                <w:sz w:val="15"/>
                <w:szCs w:val="15"/>
                <w:b w:val="1"/>
                <w:bCs w:val="1"/>
                <w:color w:val="00304D"/>
              </w:rPr>
              <w:t>$</w:t>
            </w:r>
          </w:p>
        </w:tc>
        <w:tc>
          <w:tcPr>
            <w:tcW w:w="1360" w:type="dxa"/>
            <w:vAlign w:val="bottom"/>
            <w:tcBorders>
              <w:bottom w:val="single" w:sz="8" w:color="002F4D"/>
            </w:tcBorders>
            <w:shd w:val="clear" w:color="auto" w:fill="E5ECF1"/>
          </w:tcPr>
          <w:p>
            <w:pPr>
              <w:jc w:val="right"/>
              <w:ind w:right="244"/>
              <w:spacing w:after="0"/>
              <w:rPr>
                <w:sz w:val="20"/>
                <w:szCs w:val="20"/>
                <w:color w:val="auto"/>
              </w:rPr>
            </w:pPr>
            <w:r>
              <w:rPr>
                <w:rFonts w:ascii="Arial" w:cs="Arial" w:eastAsia="Arial" w:hAnsi="Arial"/>
                <w:sz w:val="15"/>
                <w:szCs w:val="15"/>
                <w:b w:val="1"/>
                <w:bCs w:val="1"/>
                <w:color w:val="00304D"/>
              </w:rPr>
              <w:t>—</w:t>
            </w:r>
          </w:p>
        </w:tc>
        <w:tc>
          <w:tcPr>
            <w:tcW w:w="480" w:type="dxa"/>
            <w:vAlign w:val="bottom"/>
            <w:tcBorders>
              <w:bottom w:val="single" w:sz="8" w:color="002F4D"/>
            </w:tcBorders>
            <w:shd w:val="clear" w:color="auto" w:fill="E5ECF1"/>
          </w:tcPr>
          <w:p>
            <w:pPr>
              <w:ind w:left="160"/>
              <w:spacing w:after="0"/>
              <w:rPr>
                <w:sz w:val="20"/>
                <w:szCs w:val="20"/>
                <w:color w:val="auto"/>
              </w:rPr>
            </w:pPr>
            <w:r>
              <w:rPr>
                <w:rFonts w:ascii="Arial" w:cs="Arial" w:eastAsia="Arial" w:hAnsi="Arial"/>
                <w:sz w:val="15"/>
                <w:szCs w:val="15"/>
                <w:b w:val="1"/>
                <w:bCs w:val="1"/>
                <w:color w:val="00304D"/>
              </w:rPr>
              <w:t>$</w:t>
            </w:r>
          </w:p>
        </w:tc>
        <w:tc>
          <w:tcPr>
            <w:tcW w:w="1180" w:type="dxa"/>
            <w:vAlign w:val="bottom"/>
            <w:tcBorders>
              <w:bottom w:val="single" w:sz="8" w:color="002F4D"/>
            </w:tcBorders>
            <w:shd w:val="clear" w:color="auto" w:fill="E5ECF1"/>
          </w:tcPr>
          <w:p>
            <w:pPr>
              <w:jc w:val="right"/>
              <w:ind w:right="124"/>
              <w:spacing w:after="0"/>
              <w:rPr>
                <w:sz w:val="20"/>
                <w:szCs w:val="20"/>
                <w:color w:val="auto"/>
              </w:rPr>
            </w:pPr>
            <w:r>
              <w:rPr>
                <w:rFonts w:ascii="Arial" w:cs="Arial" w:eastAsia="Arial" w:hAnsi="Arial"/>
                <w:sz w:val="15"/>
                <w:szCs w:val="15"/>
                <w:b w:val="1"/>
                <w:bCs w:val="1"/>
                <w:color w:val="00304D"/>
              </w:rPr>
              <w:t>7,147,855</w:t>
            </w:r>
          </w:p>
        </w:tc>
        <w:tc>
          <w:tcPr>
            <w:tcW w:w="0" w:type="dxa"/>
            <w:vAlign w:val="bottom"/>
          </w:tcPr>
          <w:p>
            <w:pPr>
              <w:spacing w:after="0"/>
              <w:rPr>
                <w:sz w:val="1"/>
                <w:szCs w:val="1"/>
                <w:color w:val="auto"/>
              </w:rPr>
            </w:pPr>
          </w:p>
        </w:tc>
      </w:tr>
      <w:tr>
        <w:trPr>
          <w:trHeight w:val="182"/>
        </w:trPr>
        <w:tc>
          <w:tcPr>
            <w:tcW w:w="358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auto"/>
              </w:rPr>
              <w:t>Matthew R. Fuchsen</w:t>
            </w:r>
          </w:p>
        </w:tc>
        <w:tc>
          <w:tcPr>
            <w:tcW w:w="2580" w:type="dxa"/>
            <w:vAlign w:val="bottom"/>
            <w:tcBorders>
              <w:bottom w:val="single" w:sz="8" w:color="002F4D"/>
            </w:tcBorders>
          </w:tcPr>
          <w:p>
            <w:pPr>
              <w:jc w:val="right"/>
              <w:ind w:right="64"/>
              <w:spacing w:after="0"/>
              <w:rPr>
                <w:sz w:val="20"/>
                <w:szCs w:val="20"/>
                <w:color w:val="auto"/>
              </w:rPr>
            </w:pPr>
            <w:r>
              <w:rPr>
                <w:rFonts w:ascii="Arial" w:cs="Arial" w:eastAsia="Arial" w:hAnsi="Arial"/>
                <w:sz w:val="15"/>
                <w:szCs w:val="15"/>
                <w:color w:val="auto"/>
              </w:rPr>
              <w:t>Cash Severance</w:t>
            </w:r>
          </w:p>
        </w:tc>
        <w:tc>
          <w:tcPr>
            <w:tcW w:w="300" w:type="dxa"/>
            <w:vAlign w:val="bottom"/>
            <w:tcBorders>
              <w:bottom w:val="single" w:sz="8" w:color="002F4D"/>
            </w:tcBorders>
          </w:tcPr>
          <w:p>
            <w:pPr>
              <w:ind w:left="160"/>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002F4D"/>
            </w:tcBorders>
          </w:tcPr>
          <w:p>
            <w:pPr>
              <w:ind w:left="180"/>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002F4D"/>
            </w:tcBorders>
          </w:tcPr>
          <w:p>
            <w:pPr>
              <w:ind w:left="160"/>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002F4D"/>
            </w:tcBorders>
          </w:tcPr>
          <w:p>
            <w:pPr>
              <w:jc w:val="right"/>
              <w:ind w:right="1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7"/>
        </w:trPr>
        <w:tc>
          <w:tcPr>
            <w:tcW w:w="3580" w:type="dxa"/>
            <w:vAlign w:val="bottom"/>
          </w:tcPr>
          <w:p>
            <w:pPr>
              <w:spacing w:after="0"/>
              <w:rPr>
                <w:sz w:val="13"/>
                <w:szCs w:val="13"/>
                <w:color w:val="auto"/>
              </w:rPr>
            </w:pPr>
          </w:p>
        </w:tc>
        <w:tc>
          <w:tcPr>
            <w:tcW w:w="2580" w:type="dxa"/>
            <w:vAlign w:val="bottom"/>
          </w:tcPr>
          <w:p>
            <w:pPr>
              <w:jc w:val="right"/>
              <w:ind w:right="64"/>
              <w:spacing w:after="0" w:line="157" w:lineRule="exact"/>
              <w:rPr>
                <w:sz w:val="20"/>
                <w:szCs w:val="20"/>
                <w:color w:val="auto"/>
              </w:rPr>
            </w:pPr>
            <w:r>
              <w:rPr>
                <w:rFonts w:ascii="Arial" w:cs="Arial" w:eastAsia="Arial" w:hAnsi="Arial"/>
                <w:sz w:val="15"/>
                <w:szCs w:val="15"/>
                <w:color w:val="auto"/>
              </w:rPr>
              <w:t>Accelerated Vesting of Restricted</w:t>
            </w:r>
          </w:p>
        </w:tc>
        <w:tc>
          <w:tcPr>
            <w:tcW w:w="300" w:type="dxa"/>
            <w:vAlign w:val="bottom"/>
          </w:tcPr>
          <w:p>
            <w:pPr>
              <w:spacing w:after="0"/>
              <w:rPr>
                <w:sz w:val="13"/>
                <w:szCs w:val="13"/>
                <w:color w:val="auto"/>
              </w:rPr>
            </w:pPr>
          </w:p>
        </w:tc>
        <w:tc>
          <w:tcPr>
            <w:tcW w:w="1220" w:type="dxa"/>
            <w:vAlign w:val="bottom"/>
            <w:vMerge w:val="restart"/>
          </w:tcPr>
          <w:p>
            <w:pPr>
              <w:jc w:val="right"/>
              <w:ind w:right="84"/>
              <w:spacing w:after="0"/>
              <w:rPr>
                <w:sz w:val="20"/>
                <w:szCs w:val="20"/>
                <w:color w:val="auto"/>
              </w:rPr>
            </w:pPr>
            <w:r>
              <w:rPr>
                <w:rFonts w:ascii="Arial" w:cs="Arial" w:eastAsia="Arial" w:hAnsi="Arial"/>
                <w:sz w:val="15"/>
                <w:szCs w:val="15"/>
                <w:color w:val="auto"/>
              </w:rPr>
              <w:t>2,389,501</w:t>
            </w:r>
            <w:r>
              <w:rPr>
                <w:rFonts w:ascii="Arial" w:cs="Arial" w:eastAsia="Arial" w:hAnsi="Arial"/>
                <w:sz w:val="25"/>
                <w:szCs w:val="25"/>
                <w:color w:val="auto"/>
                <w:vertAlign w:val="superscript"/>
              </w:rPr>
              <w:t>(7)</w:t>
            </w:r>
          </w:p>
        </w:tc>
        <w:tc>
          <w:tcPr>
            <w:tcW w:w="5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3,954,848</w:t>
            </w:r>
            <w:r>
              <w:rPr>
                <w:rFonts w:ascii="Arial" w:cs="Arial" w:eastAsia="Arial" w:hAnsi="Arial"/>
                <w:sz w:val="25"/>
                <w:szCs w:val="25"/>
                <w:color w:val="auto"/>
                <w:vertAlign w:val="superscript"/>
              </w:rPr>
              <w:t>(7)</w:t>
            </w:r>
          </w:p>
        </w:tc>
        <w:tc>
          <w:tcPr>
            <w:tcW w:w="0" w:type="dxa"/>
            <w:vAlign w:val="bottom"/>
          </w:tcPr>
          <w:p>
            <w:pPr>
              <w:spacing w:after="0"/>
              <w:rPr>
                <w:sz w:val="1"/>
                <w:szCs w:val="1"/>
                <w:color w:val="auto"/>
              </w:rPr>
            </w:pPr>
          </w:p>
        </w:tc>
      </w:tr>
      <w:tr>
        <w:trPr>
          <w:trHeight w:val="189"/>
        </w:trPr>
        <w:tc>
          <w:tcPr>
            <w:tcW w:w="3580" w:type="dxa"/>
            <w:vAlign w:val="bottom"/>
            <w:tcBorders>
              <w:bottom w:val="single" w:sz="8" w:color="002F4D"/>
            </w:tcBorders>
          </w:tcPr>
          <w:p>
            <w:pPr>
              <w:spacing w:after="0"/>
              <w:rPr>
                <w:sz w:val="16"/>
                <w:szCs w:val="16"/>
                <w:color w:val="auto"/>
              </w:rPr>
            </w:pPr>
          </w:p>
        </w:tc>
        <w:tc>
          <w:tcPr>
            <w:tcW w:w="2580" w:type="dxa"/>
            <w:vAlign w:val="bottom"/>
            <w:tcBorders>
              <w:bottom w:val="single" w:sz="8" w:color="002F4D"/>
            </w:tcBorders>
          </w:tcPr>
          <w:p>
            <w:pPr>
              <w:jc w:val="right"/>
              <w:ind w:right="64"/>
              <w:spacing w:after="0"/>
              <w:rPr>
                <w:sz w:val="20"/>
                <w:szCs w:val="20"/>
                <w:color w:val="auto"/>
              </w:rPr>
            </w:pPr>
            <w:r>
              <w:rPr>
                <w:rFonts w:ascii="Arial" w:cs="Arial" w:eastAsia="Arial" w:hAnsi="Arial"/>
                <w:sz w:val="15"/>
                <w:szCs w:val="15"/>
                <w:color w:val="auto"/>
              </w:rPr>
              <w:t>Stock, RSUs or PSUs</w:t>
            </w:r>
          </w:p>
        </w:tc>
        <w:tc>
          <w:tcPr>
            <w:tcW w:w="300" w:type="dxa"/>
            <w:vAlign w:val="bottom"/>
            <w:tcBorders>
              <w:bottom w:val="single" w:sz="8" w:color="002F4D"/>
            </w:tcBorders>
          </w:tcPr>
          <w:p>
            <w:pPr>
              <w:ind w:left="160"/>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002F4D"/>
            </w:tcBorders>
            <w:vMerge w:val="continue"/>
          </w:tcPr>
          <w:p>
            <w:pPr>
              <w:spacing w:after="0"/>
              <w:rPr>
                <w:sz w:val="16"/>
                <w:szCs w:val="16"/>
                <w:color w:val="auto"/>
              </w:rPr>
            </w:pPr>
          </w:p>
        </w:tc>
        <w:tc>
          <w:tcPr>
            <w:tcW w:w="540" w:type="dxa"/>
            <w:vAlign w:val="bottom"/>
            <w:tcBorders>
              <w:bottom w:val="single" w:sz="8" w:color="002F4D"/>
            </w:tcBorders>
          </w:tcPr>
          <w:p>
            <w:pPr>
              <w:ind w:left="180"/>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002F4D"/>
            </w:tcBorders>
          </w:tcPr>
          <w:p>
            <w:pPr>
              <w:ind w:left="160"/>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002F4D"/>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580" w:type="dxa"/>
            <w:vAlign w:val="bottom"/>
            <w:tcBorders>
              <w:bottom w:val="single" w:sz="8" w:color="002F4D"/>
            </w:tcBorders>
            <w:shd w:val="clear" w:color="auto" w:fill="E5ECF1"/>
          </w:tcPr>
          <w:p>
            <w:pPr>
              <w:spacing w:after="0"/>
              <w:rPr>
                <w:sz w:val="16"/>
                <w:szCs w:val="16"/>
                <w:color w:val="auto"/>
              </w:rPr>
            </w:pPr>
          </w:p>
        </w:tc>
        <w:tc>
          <w:tcPr>
            <w:tcW w:w="2580" w:type="dxa"/>
            <w:vAlign w:val="bottom"/>
            <w:tcBorders>
              <w:bottom w:val="single" w:sz="8" w:color="002F4D"/>
            </w:tcBorders>
            <w:shd w:val="clear" w:color="auto" w:fill="E5ECF1"/>
          </w:tcPr>
          <w:p>
            <w:pPr>
              <w:jc w:val="right"/>
              <w:ind w:right="64"/>
              <w:spacing w:after="0"/>
              <w:rPr>
                <w:sz w:val="20"/>
                <w:szCs w:val="20"/>
                <w:color w:val="auto"/>
              </w:rPr>
            </w:pPr>
            <w:r>
              <w:rPr>
                <w:rFonts w:ascii="Arial" w:cs="Arial" w:eastAsia="Arial" w:hAnsi="Arial"/>
                <w:sz w:val="15"/>
                <w:szCs w:val="15"/>
                <w:b w:val="1"/>
                <w:bCs w:val="1"/>
                <w:color w:val="00304D"/>
              </w:rPr>
              <w:t>Total</w:t>
            </w:r>
          </w:p>
        </w:tc>
        <w:tc>
          <w:tcPr>
            <w:tcW w:w="300" w:type="dxa"/>
            <w:vAlign w:val="bottom"/>
            <w:tcBorders>
              <w:bottom w:val="single" w:sz="8" w:color="002F4D"/>
            </w:tcBorders>
            <w:shd w:val="clear" w:color="auto" w:fill="E5ECF1"/>
          </w:tcPr>
          <w:p>
            <w:pPr>
              <w:ind w:left="160"/>
              <w:spacing w:after="0"/>
              <w:rPr>
                <w:sz w:val="20"/>
                <w:szCs w:val="20"/>
                <w:color w:val="auto"/>
              </w:rPr>
            </w:pPr>
            <w:r>
              <w:rPr>
                <w:rFonts w:ascii="Arial" w:cs="Arial" w:eastAsia="Arial" w:hAnsi="Arial"/>
                <w:sz w:val="15"/>
                <w:szCs w:val="15"/>
                <w:b w:val="1"/>
                <w:bCs w:val="1"/>
                <w:color w:val="00304D"/>
              </w:rPr>
              <w:t>$</w:t>
            </w:r>
          </w:p>
        </w:tc>
        <w:tc>
          <w:tcPr>
            <w:tcW w:w="1220" w:type="dxa"/>
            <w:vAlign w:val="bottom"/>
            <w:tcBorders>
              <w:bottom w:val="single" w:sz="8" w:color="002F4D"/>
            </w:tcBorders>
            <w:shd w:val="clear" w:color="auto" w:fill="E5ECF1"/>
          </w:tcPr>
          <w:p>
            <w:pPr>
              <w:jc w:val="right"/>
              <w:ind w:right="244"/>
              <w:spacing w:after="0"/>
              <w:rPr>
                <w:sz w:val="20"/>
                <w:szCs w:val="20"/>
                <w:color w:val="auto"/>
              </w:rPr>
            </w:pPr>
            <w:r>
              <w:rPr>
                <w:rFonts w:ascii="Arial" w:cs="Arial" w:eastAsia="Arial" w:hAnsi="Arial"/>
                <w:sz w:val="15"/>
                <w:szCs w:val="15"/>
                <w:b w:val="1"/>
                <w:bCs w:val="1"/>
                <w:color w:val="00304D"/>
              </w:rPr>
              <w:t>2,389,501</w:t>
            </w:r>
          </w:p>
        </w:tc>
        <w:tc>
          <w:tcPr>
            <w:tcW w:w="540" w:type="dxa"/>
            <w:vAlign w:val="bottom"/>
            <w:tcBorders>
              <w:bottom w:val="single" w:sz="8" w:color="002F4D"/>
            </w:tcBorders>
            <w:shd w:val="clear" w:color="auto" w:fill="E5ECF1"/>
          </w:tcPr>
          <w:p>
            <w:pPr>
              <w:ind w:left="180"/>
              <w:spacing w:after="0"/>
              <w:rPr>
                <w:sz w:val="20"/>
                <w:szCs w:val="20"/>
                <w:color w:val="auto"/>
              </w:rPr>
            </w:pPr>
            <w:r>
              <w:rPr>
                <w:rFonts w:ascii="Arial" w:cs="Arial" w:eastAsia="Arial" w:hAnsi="Arial"/>
                <w:sz w:val="15"/>
                <w:szCs w:val="15"/>
                <w:b w:val="1"/>
                <w:bCs w:val="1"/>
                <w:color w:val="00304D"/>
              </w:rPr>
              <w:t>$</w:t>
            </w:r>
          </w:p>
        </w:tc>
        <w:tc>
          <w:tcPr>
            <w:tcW w:w="1360" w:type="dxa"/>
            <w:vAlign w:val="bottom"/>
            <w:tcBorders>
              <w:bottom w:val="single" w:sz="8" w:color="002F4D"/>
            </w:tcBorders>
            <w:shd w:val="clear" w:color="auto" w:fill="E5ECF1"/>
          </w:tcPr>
          <w:p>
            <w:pPr>
              <w:jc w:val="right"/>
              <w:ind w:right="244"/>
              <w:spacing w:after="0"/>
              <w:rPr>
                <w:sz w:val="20"/>
                <w:szCs w:val="20"/>
                <w:color w:val="auto"/>
              </w:rPr>
            </w:pPr>
            <w:r>
              <w:rPr>
                <w:rFonts w:ascii="Arial" w:cs="Arial" w:eastAsia="Arial" w:hAnsi="Arial"/>
                <w:sz w:val="15"/>
                <w:szCs w:val="15"/>
                <w:b w:val="1"/>
                <w:bCs w:val="1"/>
                <w:color w:val="00304D"/>
              </w:rPr>
              <w:t>—</w:t>
            </w:r>
          </w:p>
        </w:tc>
        <w:tc>
          <w:tcPr>
            <w:tcW w:w="480" w:type="dxa"/>
            <w:vAlign w:val="bottom"/>
            <w:tcBorders>
              <w:bottom w:val="single" w:sz="8" w:color="002F4D"/>
            </w:tcBorders>
            <w:shd w:val="clear" w:color="auto" w:fill="E5ECF1"/>
          </w:tcPr>
          <w:p>
            <w:pPr>
              <w:ind w:left="160"/>
              <w:spacing w:after="0"/>
              <w:rPr>
                <w:sz w:val="20"/>
                <w:szCs w:val="20"/>
                <w:color w:val="auto"/>
              </w:rPr>
            </w:pPr>
            <w:r>
              <w:rPr>
                <w:rFonts w:ascii="Arial" w:cs="Arial" w:eastAsia="Arial" w:hAnsi="Arial"/>
                <w:sz w:val="15"/>
                <w:szCs w:val="15"/>
                <w:b w:val="1"/>
                <w:bCs w:val="1"/>
                <w:color w:val="00304D"/>
              </w:rPr>
              <w:t>$</w:t>
            </w:r>
          </w:p>
        </w:tc>
        <w:tc>
          <w:tcPr>
            <w:tcW w:w="1180" w:type="dxa"/>
            <w:vAlign w:val="bottom"/>
            <w:tcBorders>
              <w:bottom w:val="single" w:sz="8" w:color="002F4D"/>
            </w:tcBorders>
            <w:shd w:val="clear" w:color="auto" w:fill="E5ECF1"/>
          </w:tcPr>
          <w:p>
            <w:pPr>
              <w:jc w:val="right"/>
              <w:ind w:right="124"/>
              <w:spacing w:after="0"/>
              <w:rPr>
                <w:sz w:val="20"/>
                <w:szCs w:val="20"/>
                <w:color w:val="auto"/>
              </w:rPr>
            </w:pPr>
            <w:r>
              <w:rPr>
                <w:rFonts w:ascii="Arial" w:cs="Arial" w:eastAsia="Arial" w:hAnsi="Arial"/>
                <w:sz w:val="15"/>
                <w:szCs w:val="15"/>
                <w:b w:val="1"/>
                <w:bCs w:val="1"/>
                <w:color w:val="00304D"/>
              </w:rPr>
              <w:t>3,954,848</w:t>
            </w:r>
          </w:p>
        </w:tc>
        <w:tc>
          <w:tcPr>
            <w:tcW w:w="0" w:type="dxa"/>
            <w:vAlign w:val="bottom"/>
          </w:tcPr>
          <w:p>
            <w:pPr>
              <w:spacing w:after="0"/>
              <w:rPr>
                <w:sz w:val="1"/>
                <w:szCs w:val="1"/>
                <w:color w:val="auto"/>
              </w:rPr>
            </w:pPr>
          </w:p>
        </w:tc>
      </w:tr>
    </w:tbl>
    <w:p>
      <w:pPr>
        <w:spacing w:after="0" w:line="43" w:lineRule="exact"/>
        <w:rPr>
          <w:sz w:val="20"/>
          <w:szCs w:val="20"/>
          <w:color w:val="auto"/>
        </w:rPr>
      </w:pPr>
    </w:p>
    <w:p>
      <w:pPr>
        <w:jc w:val="both"/>
        <w:ind w:left="300" w:hanging="299"/>
        <w:spacing w:after="0" w:line="264" w:lineRule="auto"/>
        <w:tabs>
          <w:tab w:leader="none" w:pos="3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This potential payment upon change in control assumes that upon such change in control Mr. FitzGerald’s employment also was terminated by the Company without cause or there was a voluntary termination due to material diminution of duties. In the event of a change in control not including a qualifying termination, Mr. FitzGerald would be entitled to $0, which is a payment equal to the short-term incentive for the year of the assumed change in control.</w:t>
      </w:r>
    </w:p>
    <w:p>
      <w:pPr>
        <w:spacing w:after="0" w:line="11" w:lineRule="exact"/>
        <w:rPr>
          <w:rFonts w:ascii="Arial" w:cs="Arial" w:eastAsia="Arial" w:hAnsi="Arial"/>
          <w:sz w:val="13"/>
          <w:szCs w:val="13"/>
          <w:color w:val="auto"/>
        </w:rPr>
      </w:pPr>
    </w:p>
    <w:p>
      <w:pPr>
        <w:jc w:val="both"/>
        <w:ind w:left="300" w:hanging="299"/>
        <w:spacing w:after="0" w:line="264" w:lineRule="auto"/>
        <w:tabs>
          <w:tab w:leader="none" w:pos="3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 the event of involuntary termination without cause or voluntary termination due to material diminution of duties, Mr. FitzGerald is entitled to receive continued coverage under any medical, dental, vision, disability and life insurance program or policy maintained by the Company on terms and conditions no less favorable than those applicable to senior executive officers of the Company from time to time (including with respect to payment for the costs thereof) for twenty-four (24) months. This row estimates the value of this benefit.</w:t>
      </w:r>
    </w:p>
    <w:p>
      <w:pPr>
        <w:spacing w:after="0" w:line="11" w:lineRule="exact"/>
        <w:rPr>
          <w:rFonts w:ascii="Arial" w:cs="Arial" w:eastAsia="Arial" w:hAnsi="Arial"/>
          <w:sz w:val="13"/>
          <w:szCs w:val="13"/>
          <w:color w:val="auto"/>
        </w:rPr>
      </w:pPr>
    </w:p>
    <w:p>
      <w:pPr>
        <w:jc w:val="both"/>
        <w:ind w:left="300" w:hanging="299"/>
        <w:spacing w:after="0" w:line="249" w:lineRule="auto"/>
        <w:tabs>
          <w:tab w:leader="none" w:pos="3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Includes 27,838 PSUs and 4,641 RSUs that were granted on August 9, 2023. Includes 30,898 PSUs and 10,300 RSUs that were granted on May 14, 2024. Includes 29,086 PSUs and 14,544 RSUs that were granted on May 13, 2025. In the event of a change of control, such RSUs, to the extent not then vested, would immediately vest in full, such PSUs would immediately vest in the greater of (i) the number of PSUs that would vest at the target level of performance and (ii) the number of PSUs that would otherwise vest based on actual performance measured immediately prior to the change of control, as determined by the Compensation Committee, and such PSUs are estimated in this table to immediately vest at the target number of PSUs. In the event of a termination without cause by the Company or by Mr. FitzGerald due to a material diminution in duties, the RSUs would immediately vest in that number of RSUs that were granted, pro-rated for the period of time employed by the Company during the relevant performance period, and (ii) such PSUs would immediately vest in that number of PSUs that would vest based on actual performance measured as of the end of the performance period, pro-rated for the number of days worked through the date of termination. For purposes of this table, these PSUs were valued at target performance.</w:t>
      </w:r>
    </w:p>
    <w:p>
      <w:pPr>
        <w:spacing w:after="0" w:line="143" w:lineRule="exact"/>
        <w:rPr>
          <w:sz w:val="20"/>
          <w:szCs w:val="20"/>
          <w:color w:val="auto"/>
        </w:rPr>
      </w:pPr>
    </w:p>
    <w:p>
      <w:pPr>
        <w:ind w:left="8960"/>
        <w:spacing w:after="0"/>
        <w:tabs>
          <w:tab w:leader="none" w:pos="1106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50" w:name="page51"/>
    <w:bookmarkEnd w:id="50"/>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8" w:lineRule="exact"/>
        <w:rPr>
          <w:sz w:val="20"/>
          <w:szCs w:val="20"/>
          <w:color w:val="auto"/>
        </w:rPr>
      </w:pPr>
    </w:p>
    <w:p>
      <w:pPr>
        <w:jc w:val="both"/>
        <w:ind w:left="300" w:hanging="299"/>
        <w:spacing w:after="0" w:line="249" w:lineRule="auto"/>
        <w:tabs>
          <w:tab w:leader="none" w:pos="3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Includes 7,922 PSUs and 1,320 RSUs that were granted on August 9, 2023. Includes 9,246 PSUs and 3,082 RSUs that were granted on May 14, 2024. Includes 8,703 PSUs and 4,352 RSUs that were granted on May 13, 2025. In the event of a change of control, such RSUs, to the extent not then vested, would immediately vest in full, and such PSUs would immediately vest in the greater of (i) the number of PSUs that would vest at the target level of performance and (ii) the number of PSUs that would otherwise vest based on actual performance measured immediately prior to the change of control, as determined by the Compensation Committee, and such PSUs are estimated in this table to immediately vest at the target number of PSUs. In the event of a termination without cause by the Company, the RSUs would immediately vest in that number of shares of RSUs that were granted, pro-rated for the period of time employed by the Company during the relevant performance period, and (ii) such PSUs would immediately vest in that number of PSUs that would vest based on actual performance measured as of the end of the performance period, pro-rated for the number of days worked through the date of termination. For purposes of this table, these PSUs were valued at target performance.</w:t>
      </w:r>
    </w:p>
    <w:p>
      <w:pPr>
        <w:spacing w:after="0" w:line="176" w:lineRule="exact"/>
        <w:rPr>
          <w:rFonts w:ascii="Arial" w:cs="Arial" w:eastAsia="Arial" w:hAnsi="Arial"/>
          <w:sz w:val="13"/>
          <w:szCs w:val="13"/>
          <w:color w:val="auto"/>
        </w:rPr>
      </w:pPr>
    </w:p>
    <w:p>
      <w:pPr>
        <w:jc w:val="both"/>
        <w:ind w:left="300" w:hanging="299"/>
        <w:spacing w:after="0" w:line="249" w:lineRule="auto"/>
        <w:tabs>
          <w:tab w:leader="none" w:pos="3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Includes 10,864 PSUs and 1,811 RSUs that were granted on August 9, 2023. Includes 12,652 PSUs and 4,217 RSUs that were granted on May 14, 2024. Includes 11,910 PSUs and 5,955 RSUs that were granted on May 13, 2025. In the event of a change of control, such RSUs, to the extent not then vested, would immediately vest in full, and such PSUs would immediately vest in the greater of (i) the number of PSUs that would vest at the target level of performance and (ii) the number of PSUs that would otherwise vest based on actual performance measured immediately prior to the change of control, as determined by the Compensation Committee, and such PSUs are estimated in this table to immediately vest at the target number of PSUs. In the event of a termination without cause by the Company, the RSUs would immediately vest in that number of shares of RSUs that were granted, pro-rated for the period of time employed by the Company during the relevant performance period, and (ii) such PSUs would immediately vest in that number of PSUs that would vest based on actual performance measured as of the end of the performance period, pro-rated for the number of days worked through the date of termination. For purposes of this table, these PSUs were valued at target performance.</w:t>
      </w:r>
    </w:p>
    <w:p>
      <w:pPr>
        <w:spacing w:after="0" w:line="176" w:lineRule="exact"/>
        <w:rPr>
          <w:rFonts w:ascii="Arial" w:cs="Arial" w:eastAsia="Arial" w:hAnsi="Arial"/>
          <w:sz w:val="13"/>
          <w:szCs w:val="13"/>
          <w:color w:val="auto"/>
        </w:rPr>
      </w:pPr>
    </w:p>
    <w:p>
      <w:pPr>
        <w:jc w:val="both"/>
        <w:ind w:left="300" w:hanging="299"/>
        <w:spacing w:after="0" w:line="249" w:lineRule="auto"/>
        <w:tabs>
          <w:tab w:leader="none" w:pos="3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Includes 10,864 PSUs and 1,811 RSUs that were granted on August 9, 2023. Includes 12,652 PSUs and 4,217 RSUs that were granted on May 14, 2024. Includes 11,910 PSUs and 5,955 RSUs that were granted on May 13, 2025. In the event of a change of control, such RSUs, to the extent not then vested, would immediately vest in full, and such PSUs would immediately vest in the greater of (i) the number of PSUs that would vest at the target level of performance and (ii) the number of PSUs that would otherwise vest based on actual performance measured immediately prior to the change of control, as determined by the Compensation Committee, and such PSUs are estimated in this table to immediately vest at the target number of PSUs. In the event of a termination without cause by the Company, the RSUs would immediately vest in that number of shares of RSUs that were granted, pro-rated for the period of time employed by the Company during the relevant performance period, and (ii) such restricted performance stock or PSUs would immediately vest in that number of shares or PSUs that would vest based on actual performance measured as of the end of the performance period, pro-rated for the number of days worked through the date of termination. For purposes of this table, these PSUs were valued at target performance.</w:t>
      </w:r>
    </w:p>
    <w:p>
      <w:pPr>
        <w:spacing w:after="0" w:line="21" w:lineRule="exact"/>
        <w:rPr>
          <w:rFonts w:ascii="Arial" w:cs="Arial" w:eastAsia="Arial" w:hAnsi="Arial"/>
          <w:sz w:val="13"/>
          <w:szCs w:val="13"/>
          <w:color w:val="auto"/>
        </w:rPr>
      </w:pPr>
    </w:p>
    <w:p>
      <w:pPr>
        <w:jc w:val="both"/>
        <w:ind w:left="300" w:hanging="299"/>
        <w:spacing w:after="0" w:line="249" w:lineRule="auto"/>
        <w:tabs>
          <w:tab w:leader="none" w:pos="3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Includes 6,166 PSUs and 1,028 RSUs that were granted on August 9, 2023. Includes 6,934 PSUs and 2,312 RSUs that were granted on May 14, 2024. Includes 6,527 PSUs and 3,264 RSUs that were granted on May 13, 2025. In the event of a change of control, such RSUs, to the extent not then vested, would immediately vest in full, and such PSUs would immediately vest in the greater of (i) the number of PSUs that would vest at the target level of performance and (ii) the number of PSUs that would otherwise vest based on actual performance measured immediately prior to the change of control, as determined by the Compensation Committee, and such PSUs are estimated in this table to immediately vest at the target number of PSUs. In the event of a termination without cause by the Company, the RSUs would immediately vest in that number of shares of RSUs that were granted, pro-rated for the period of time employed by the Company during the relevant performance period, and (ii) such PSUs would immediately vest in that number of PSUs that would vest based on actual performance measured as of the end of the performance period, pro-rated for the number of days worked through the date of termination. For purposes of this table, these PSUs were valued at target performance.</w:t>
      </w:r>
    </w:p>
    <w:p>
      <w:pPr>
        <w:spacing w:after="0" w:line="391"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CEO Compensation Pay Ratio for Fiscal Year 2025</w:t>
      </w:r>
    </w:p>
    <w:p>
      <w:pPr>
        <w:spacing w:after="0" w:line="187"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monitor the relationship between the compensation of our executive officers and the compensation of our non-managerial employees. For 2025, Mr. FitzGerald’s total compensation of $8,207,849 was approximately 152 times the total compensation of a median employee, $53,874. We identified the median employee using base salary and bonus payments (i.e., cash-based compensation) for all individuals, excluding Mr. FitzGerald, who were employed by Middleby on January 3, 2026 (whether employed on a full time, part-time, seasonal, or temporary basis). We used a January 3 measurement date to select our median employee for fiscal year 2025 rather than the December 31 measurement date we used last year, because January 3 was the last day of fiscal year 2025 and December 31 was the last day of fiscal year 2024. After identifying the median employee, we calculated annual total compensation for such employee using the same methodology we use to determine Mr. FitzGerald’s compensation for the Summary Compensation Table.</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Middleby is a global company with a total employee population of approximately 8,826 employees as of January 3, 2026. This total is made up of approximately 4,786 U.S-based employees and approximately 4,040 employees located in 24 jurisdictions outside of the U.S. Our employee population studied to determine the median employee consisted of approximately 8,826 individuals.</w:t>
      </w:r>
    </w:p>
    <w:p>
      <w:pPr>
        <w:spacing w:after="0" w:line="129"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Pay Versus Performance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Set forth below are certain disclosures related to executive compensation and company performance using selected financial performance measures required by Item 402(v) of Regulation S-K. The table below discloses: (i) the total compensation paid (as reported in the Summary Compensation Table (“SCT”)) and the compensation actually paid (“CAP”) to the individuals who served as the Company’s CEO; (ii) the average of the total compensation paid (as reported in the SCT) and the average CAP to the individuals who served as non-CEO NEOs; (iii) the cumulative total stockholder return of the Company and peer group cumulative total stockholder return; (iv) net income; (v) Adjusted EBITDA, and (vi) Adjusted EPS. CAP is calculated in the manner required by Item 402(v) of Regulation S-K.</w:t>
      </w:r>
    </w:p>
    <w:p>
      <w:pPr>
        <w:spacing w:after="0" w:line="14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51" w:name="page52"/>
    <w:bookmarkEnd w:id="51"/>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3"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Please refer to the Compensation Discussion and Analysis for a discussion of the Company’s executive compensation policies and programs and an explanation of the Company’s executive compensation review process.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4"/>
          </w:tcPr>
          <w:p>
            <w:pPr>
              <w:jc w:val="center"/>
              <w:ind w:right="80"/>
              <w:spacing w:after="0"/>
              <w:rPr>
                <w:sz w:val="20"/>
                <w:szCs w:val="20"/>
                <w:color w:val="auto"/>
              </w:rPr>
            </w:pPr>
            <w:r>
              <w:rPr>
                <w:rFonts w:ascii="Arial" w:cs="Arial" w:eastAsia="Arial" w:hAnsi="Arial"/>
                <w:sz w:val="15"/>
                <w:szCs w:val="15"/>
                <w:b w:val="1"/>
                <w:bCs w:val="1"/>
                <w:color w:val="auto"/>
                <w:w w:val="99"/>
              </w:rPr>
              <w:t>Value of Initial Fixed</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4"/>
          </w:tcPr>
          <w:p>
            <w:pPr>
              <w:jc w:val="center"/>
              <w:ind w:right="100"/>
              <w:spacing w:after="0"/>
              <w:rPr>
                <w:sz w:val="20"/>
                <w:szCs w:val="20"/>
                <w:color w:val="auto"/>
              </w:rPr>
            </w:pPr>
            <w:r>
              <w:rPr>
                <w:rFonts w:ascii="Arial" w:cs="Arial" w:eastAsia="Arial" w:hAnsi="Arial"/>
                <w:sz w:val="15"/>
                <w:szCs w:val="15"/>
                <w:b w:val="1"/>
                <w:bCs w:val="1"/>
                <w:color w:val="auto"/>
              </w:rPr>
              <w:t>$100 Investment</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4"/>
          </w:tcPr>
          <w:p>
            <w:pPr>
              <w:jc w:val="center"/>
              <w:ind w:right="80"/>
              <w:spacing w:after="0"/>
              <w:rPr>
                <w:sz w:val="20"/>
                <w:szCs w:val="20"/>
                <w:color w:val="auto"/>
              </w:rPr>
            </w:pPr>
            <w:r>
              <w:rPr>
                <w:rFonts w:ascii="Arial" w:cs="Arial" w:eastAsia="Arial" w:hAnsi="Arial"/>
                <w:sz w:val="15"/>
                <w:szCs w:val="15"/>
                <w:b w:val="1"/>
                <w:bCs w:val="1"/>
                <w:color w:val="auto"/>
                <w:w w:val="99"/>
              </w:rPr>
              <w:t>Based on:</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5"/>
                <w:szCs w:val="15"/>
                <w:b w:val="1"/>
                <w:bCs w:val="1"/>
                <w:color w:val="auto"/>
              </w:rPr>
              <w:t>Company</w:t>
            </w:r>
          </w:p>
        </w:tc>
        <w:tc>
          <w:tcPr>
            <w:tcW w:w="0" w:type="dxa"/>
            <w:vAlign w:val="bottom"/>
          </w:tcPr>
          <w:p>
            <w:pPr>
              <w:spacing w:after="0"/>
              <w:rPr>
                <w:sz w:val="1"/>
                <w:szCs w:val="1"/>
                <w:color w:val="auto"/>
              </w:rPr>
            </w:pPr>
          </w:p>
        </w:tc>
      </w:tr>
      <w:tr>
        <w:trPr>
          <w:trHeight w:val="157"/>
        </w:trPr>
        <w:tc>
          <w:tcPr>
            <w:tcW w:w="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jc w:val="right"/>
              <w:spacing w:after="0" w:line="157" w:lineRule="exact"/>
              <w:rPr>
                <w:sz w:val="20"/>
                <w:szCs w:val="20"/>
                <w:color w:val="auto"/>
              </w:rPr>
            </w:pPr>
            <w:r>
              <w:rPr>
                <w:rFonts w:ascii="Arial" w:cs="Arial" w:eastAsia="Arial" w:hAnsi="Arial"/>
                <w:sz w:val="15"/>
                <w:szCs w:val="15"/>
                <w:b w:val="1"/>
                <w:bCs w:val="1"/>
                <w:color w:val="auto"/>
              </w:rPr>
              <w:t>Average</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top w:val="single" w:sz="8" w:color="002F4D"/>
            </w:tcBorders>
          </w:tcPr>
          <w:p>
            <w:pPr>
              <w:spacing w:after="0"/>
              <w:rPr>
                <w:sz w:val="13"/>
                <w:szCs w:val="13"/>
                <w:color w:val="auto"/>
              </w:rPr>
            </w:pPr>
          </w:p>
        </w:tc>
        <w:tc>
          <w:tcPr>
            <w:tcW w:w="220" w:type="dxa"/>
            <w:vAlign w:val="bottom"/>
            <w:tcBorders>
              <w:top w:val="single" w:sz="8" w:color="002F4D"/>
            </w:tcBorders>
          </w:tcPr>
          <w:p>
            <w:pPr>
              <w:spacing w:after="0"/>
              <w:rPr>
                <w:sz w:val="13"/>
                <w:szCs w:val="13"/>
                <w:color w:val="auto"/>
              </w:rPr>
            </w:pPr>
          </w:p>
        </w:tc>
        <w:tc>
          <w:tcPr>
            <w:tcW w:w="720" w:type="dxa"/>
            <w:vAlign w:val="bottom"/>
            <w:tcBorders>
              <w:top w:val="single" w:sz="8" w:color="002F4D"/>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Summary</w:t>
            </w:r>
          </w:p>
        </w:tc>
        <w:tc>
          <w:tcPr>
            <w:tcW w:w="18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5"/>
                <w:szCs w:val="15"/>
                <w:b w:val="1"/>
                <w:bCs w:val="1"/>
                <w:color w:val="auto"/>
              </w:rPr>
              <w:t>Average</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146"/>
              <w:spacing w:after="0"/>
              <w:rPr>
                <w:sz w:val="20"/>
                <w:szCs w:val="20"/>
                <w:color w:val="auto"/>
              </w:rPr>
            </w:pPr>
            <w:r>
              <w:rPr>
                <w:rFonts w:ascii="Arial" w:cs="Arial" w:eastAsia="Arial" w:hAnsi="Arial"/>
                <w:sz w:val="15"/>
                <w:szCs w:val="15"/>
                <w:b w:val="1"/>
                <w:bCs w:val="1"/>
                <w:color w:val="auto"/>
              </w:rPr>
              <w:t>Supplemental</w:t>
            </w:r>
          </w:p>
        </w:tc>
        <w:tc>
          <w:tcPr>
            <w:tcW w:w="940" w:type="dxa"/>
            <w:vAlign w:val="bottom"/>
            <w:gridSpan w:val="3"/>
          </w:tcPr>
          <w:p>
            <w:pPr>
              <w:jc w:val="right"/>
              <w:ind w:right="137"/>
              <w:spacing w:after="0"/>
              <w:rPr>
                <w:sz w:val="20"/>
                <w:szCs w:val="20"/>
                <w:color w:val="auto"/>
              </w:rPr>
            </w:pPr>
            <w:r>
              <w:rPr>
                <w:rFonts w:ascii="Arial" w:cs="Arial" w:eastAsia="Arial" w:hAnsi="Arial"/>
                <w:sz w:val="15"/>
                <w:szCs w:val="15"/>
                <w:b w:val="1"/>
                <w:bCs w:val="1"/>
                <w:color w:val="auto"/>
              </w:rPr>
              <w:t>Selected</w:t>
            </w:r>
          </w:p>
        </w:tc>
        <w:tc>
          <w:tcPr>
            <w:tcW w:w="0" w:type="dxa"/>
            <w:vAlign w:val="bottom"/>
          </w:tcPr>
          <w:p>
            <w:pPr>
              <w:spacing w:after="0"/>
              <w:rPr>
                <w:sz w:val="1"/>
                <w:szCs w:val="1"/>
                <w:color w:val="auto"/>
              </w:rPr>
            </w:pPr>
          </w:p>
        </w:tc>
      </w:tr>
      <w:tr>
        <w:trPr>
          <w:trHeight w:val="177"/>
        </w:trPr>
        <w:tc>
          <w:tcPr>
            <w:tcW w:w="460" w:type="dxa"/>
            <w:vAlign w:val="bottom"/>
          </w:tcPr>
          <w:p>
            <w:pPr>
              <w:spacing w:after="0"/>
              <w:rPr>
                <w:sz w:val="15"/>
                <w:szCs w:val="15"/>
                <w:color w:val="auto"/>
              </w:rPr>
            </w:pPr>
          </w:p>
        </w:tc>
        <w:tc>
          <w:tcPr>
            <w:tcW w:w="1260" w:type="dxa"/>
            <w:vAlign w:val="bottom"/>
          </w:tcPr>
          <w:p>
            <w:pPr>
              <w:jc w:val="right"/>
              <w:ind w:right="64"/>
              <w:spacing w:after="0"/>
              <w:rPr>
                <w:sz w:val="20"/>
                <w:szCs w:val="20"/>
                <w:color w:val="auto"/>
              </w:rPr>
            </w:pPr>
            <w:r>
              <w:rPr>
                <w:rFonts w:ascii="Arial" w:cs="Arial" w:eastAsia="Arial" w:hAnsi="Arial"/>
                <w:sz w:val="15"/>
                <w:szCs w:val="15"/>
                <w:b w:val="1"/>
                <w:bCs w:val="1"/>
                <w:color w:val="auto"/>
              </w:rPr>
              <w:t>Summary</w:t>
            </w: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Compensation</w:t>
            </w:r>
          </w:p>
        </w:tc>
        <w:tc>
          <w:tcPr>
            <w:tcW w:w="1200" w:type="dxa"/>
            <w:vAlign w:val="bottom"/>
            <w:gridSpan w:val="3"/>
          </w:tcPr>
          <w:p>
            <w:pPr>
              <w:ind w:left="80"/>
              <w:spacing w:after="0"/>
              <w:rPr>
                <w:sz w:val="20"/>
                <w:szCs w:val="20"/>
                <w:color w:val="auto"/>
              </w:rPr>
            </w:pPr>
            <w:r>
              <w:rPr>
                <w:rFonts w:ascii="Arial" w:cs="Arial" w:eastAsia="Arial" w:hAnsi="Arial"/>
                <w:sz w:val="15"/>
                <w:szCs w:val="15"/>
                <w:b w:val="1"/>
                <w:bCs w:val="1"/>
                <w:color w:val="auto"/>
              </w:rPr>
              <w:t>Compensation</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5"/>
                <w:szCs w:val="15"/>
                <w:b w:val="1"/>
                <w:bCs w:val="1"/>
                <w:color w:val="auto"/>
              </w:rPr>
              <w:t>Peer Group</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146"/>
              <w:spacing w:after="0"/>
              <w:rPr>
                <w:sz w:val="20"/>
                <w:szCs w:val="20"/>
                <w:color w:val="auto"/>
              </w:rPr>
            </w:pPr>
            <w:r>
              <w:rPr>
                <w:rFonts w:ascii="Arial" w:cs="Arial" w:eastAsia="Arial" w:hAnsi="Arial"/>
                <w:sz w:val="15"/>
                <w:szCs w:val="15"/>
                <w:b w:val="1"/>
                <w:bCs w:val="1"/>
                <w:color w:val="auto"/>
              </w:rPr>
              <w:t>Measure:</w:t>
            </w:r>
          </w:p>
        </w:tc>
        <w:tc>
          <w:tcPr>
            <w:tcW w:w="940" w:type="dxa"/>
            <w:vAlign w:val="bottom"/>
            <w:gridSpan w:val="3"/>
          </w:tcPr>
          <w:p>
            <w:pPr>
              <w:ind w:left="80"/>
              <w:spacing w:after="0"/>
              <w:rPr>
                <w:sz w:val="20"/>
                <w:szCs w:val="20"/>
                <w:color w:val="auto"/>
              </w:rPr>
            </w:pPr>
            <w:r>
              <w:rPr>
                <w:rFonts w:ascii="Arial" w:cs="Arial" w:eastAsia="Arial" w:hAnsi="Arial"/>
                <w:sz w:val="15"/>
                <w:szCs w:val="15"/>
                <w:b w:val="1"/>
                <w:bCs w:val="1"/>
                <w:color w:val="auto"/>
              </w:rPr>
              <w:t>Measure:</w:t>
            </w:r>
          </w:p>
        </w:tc>
        <w:tc>
          <w:tcPr>
            <w:tcW w:w="0" w:type="dxa"/>
            <w:vAlign w:val="bottom"/>
          </w:tcPr>
          <w:p>
            <w:pPr>
              <w:spacing w:after="0"/>
              <w:rPr>
                <w:sz w:val="1"/>
                <w:szCs w:val="1"/>
                <w:color w:val="auto"/>
              </w:rPr>
            </w:pPr>
          </w:p>
        </w:tc>
      </w:tr>
      <w:tr>
        <w:trPr>
          <w:trHeight w:val="177"/>
        </w:trPr>
        <w:tc>
          <w:tcPr>
            <w:tcW w:w="460" w:type="dxa"/>
            <w:vAlign w:val="bottom"/>
          </w:tcPr>
          <w:p>
            <w:pPr>
              <w:spacing w:after="0"/>
              <w:rPr>
                <w:sz w:val="15"/>
                <w:szCs w:val="15"/>
                <w:color w:val="auto"/>
              </w:rPr>
            </w:pPr>
          </w:p>
        </w:tc>
        <w:tc>
          <w:tcPr>
            <w:tcW w:w="1260" w:type="dxa"/>
            <w:vAlign w:val="bottom"/>
          </w:tcPr>
          <w:p>
            <w:pPr>
              <w:jc w:val="right"/>
              <w:ind w:right="64"/>
              <w:spacing w:after="0"/>
              <w:rPr>
                <w:sz w:val="20"/>
                <w:szCs w:val="20"/>
                <w:color w:val="auto"/>
              </w:rPr>
            </w:pPr>
            <w:r>
              <w:rPr>
                <w:rFonts w:ascii="Arial" w:cs="Arial" w:eastAsia="Arial" w:hAnsi="Arial"/>
                <w:sz w:val="15"/>
                <w:szCs w:val="15"/>
                <w:b w:val="1"/>
                <w:bCs w:val="1"/>
                <w:color w:val="auto"/>
              </w:rPr>
              <w:t>Compensation</w:t>
            </w:r>
          </w:p>
        </w:tc>
        <w:tc>
          <w:tcPr>
            <w:tcW w:w="1380" w:type="dxa"/>
            <w:vAlign w:val="bottom"/>
            <w:gridSpan w:val="2"/>
          </w:tcPr>
          <w:p>
            <w:pPr>
              <w:jc w:val="right"/>
              <w:ind w:right="46"/>
              <w:spacing w:after="0"/>
              <w:rPr>
                <w:sz w:val="20"/>
                <w:szCs w:val="20"/>
                <w:color w:val="auto"/>
              </w:rPr>
            </w:pPr>
            <w:r>
              <w:rPr>
                <w:rFonts w:ascii="Arial" w:cs="Arial" w:eastAsia="Arial" w:hAnsi="Arial"/>
                <w:sz w:val="15"/>
                <w:szCs w:val="15"/>
                <w:b w:val="1"/>
                <w:bCs w:val="1"/>
                <w:color w:val="auto"/>
              </w:rPr>
              <w:t>Compensation</w:t>
            </w: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Table Total</w:t>
            </w:r>
          </w:p>
        </w:tc>
        <w:tc>
          <w:tcPr>
            <w:tcW w:w="18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5"/>
                <w:szCs w:val="15"/>
                <w:b w:val="1"/>
                <w:bCs w:val="1"/>
                <w:color w:val="auto"/>
                <w:w w:val="99"/>
              </w:rPr>
              <w:t>Actually Paid</w:t>
            </w:r>
          </w:p>
        </w:tc>
        <w:tc>
          <w:tcPr>
            <w:tcW w:w="8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b w:val="1"/>
                <w:bCs w:val="1"/>
                <w:color w:val="auto"/>
              </w:rPr>
              <w:t>Total</w:t>
            </w:r>
          </w:p>
        </w:tc>
        <w:tc>
          <w:tcPr>
            <w:tcW w:w="2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Total</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146"/>
              <w:spacing w:after="0"/>
              <w:rPr>
                <w:sz w:val="20"/>
                <w:szCs w:val="20"/>
                <w:color w:val="auto"/>
              </w:rPr>
            </w:pPr>
            <w:r>
              <w:rPr>
                <w:rFonts w:ascii="Arial" w:cs="Arial" w:eastAsia="Arial" w:hAnsi="Arial"/>
                <w:sz w:val="15"/>
                <w:szCs w:val="15"/>
                <w:b w:val="1"/>
                <w:bCs w:val="1"/>
                <w:color w:val="auto"/>
              </w:rPr>
              <w:t>Adjusted</w:t>
            </w:r>
          </w:p>
        </w:tc>
        <w:tc>
          <w:tcPr>
            <w:tcW w:w="940" w:type="dxa"/>
            <w:vAlign w:val="bottom"/>
            <w:gridSpan w:val="3"/>
          </w:tcPr>
          <w:p>
            <w:pPr>
              <w:jc w:val="right"/>
              <w:ind w:right="137"/>
              <w:spacing w:after="0"/>
              <w:rPr>
                <w:sz w:val="20"/>
                <w:szCs w:val="20"/>
                <w:color w:val="auto"/>
              </w:rPr>
            </w:pPr>
            <w:r>
              <w:rPr>
                <w:rFonts w:ascii="Arial" w:cs="Arial" w:eastAsia="Arial" w:hAnsi="Arial"/>
                <w:sz w:val="15"/>
                <w:szCs w:val="15"/>
                <w:b w:val="1"/>
                <w:bCs w:val="1"/>
                <w:color w:val="auto"/>
              </w:rPr>
              <w:t>Adjusted</w:t>
            </w:r>
          </w:p>
        </w:tc>
        <w:tc>
          <w:tcPr>
            <w:tcW w:w="0" w:type="dxa"/>
            <w:vAlign w:val="bottom"/>
          </w:tcPr>
          <w:p>
            <w:pPr>
              <w:spacing w:after="0"/>
              <w:rPr>
                <w:sz w:val="1"/>
                <w:szCs w:val="1"/>
                <w:color w:val="auto"/>
              </w:rPr>
            </w:pPr>
          </w:p>
        </w:tc>
      </w:tr>
      <w:tr>
        <w:trPr>
          <w:trHeight w:val="177"/>
        </w:trPr>
        <w:tc>
          <w:tcPr>
            <w:tcW w:w="460" w:type="dxa"/>
            <w:vAlign w:val="bottom"/>
          </w:tcPr>
          <w:p>
            <w:pPr>
              <w:spacing w:after="0"/>
              <w:rPr>
                <w:sz w:val="15"/>
                <w:szCs w:val="15"/>
                <w:color w:val="auto"/>
              </w:rPr>
            </w:pPr>
          </w:p>
        </w:tc>
        <w:tc>
          <w:tcPr>
            <w:tcW w:w="1260" w:type="dxa"/>
            <w:vAlign w:val="bottom"/>
          </w:tcPr>
          <w:p>
            <w:pPr>
              <w:jc w:val="right"/>
              <w:ind w:right="64"/>
              <w:spacing w:after="0"/>
              <w:rPr>
                <w:sz w:val="20"/>
                <w:szCs w:val="20"/>
                <w:color w:val="auto"/>
              </w:rPr>
            </w:pPr>
            <w:r>
              <w:rPr>
                <w:rFonts w:ascii="Arial" w:cs="Arial" w:eastAsia="Arial" w:hAnsi="Arial"/>
                <w:sz w:val="15"/>
                <w:szCs w:val="15"/>
                <w:b w:val="1"/>
                <w:bCs w:val="1"/>
                <w:color w:val="auto"/>
              </w:rPr>
              <w:t>Table Total for</w:t>
            </w:r>
          </w:p>
        </w:tc>
        <w:tc>
          <w:tcPr>
            <w:tcW w:w="1380" w:type="dxa"/>
            <w:vAlign w:val="bottom"/>
            <w:gridSpan w:val="2"/>
          </w:tcPr>
          <w:p>
            <w:pPr>
              <w:jc w:val="right"/>
              <w:ind w:right="46"/>
              <w:spacing w:after="0"/>
              <w:rPr>
                <w:sz w:val="20"/>
                <w:szCs w:val="20"/>
                <w:color w:val="auto"/>
              </w:rPr>
            </w:pPr>
            <w:r>
              <w:rPr>
                <w:rFonts w:ascii="Arial" w:cs="Arial" w:eastAsia="Arial" w:hAnsi="Arial"/>
                <w:sz w:val="15"/>
                <w:szCs w:val="15"/>
                <w:b w:val="1"/>
                <w:bCs w:val="1"/>
                <w:color w:val="auto"/>
              </w:rPr>
              <w:t>Actually Paid to</w:t>
            </w: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for Non-CEO</w:t>
            </w:r>
          </w:p>
        </w:tc>
        <w:tc>
          <w:tcPr>
            <w:tcW w:w="18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5"/>
                <w:szCs w:val="15"/>
                <w:b w:val="1"/>
                <w:bCs w:val="1"/>
                <w:color w:val="auto"/>
              </w:rPr>
              <w:t>to Non-CEO</w:t>
            </w:r>
          </w:p>
        </w:tc>
        <w:tc>
          <w:tcPr>
            <w:tcW w:w="1020" w:type="dxa"/>
            <w:vAlign w:val="bottom"/>
            <w:gridSpan w:val="2"/>
          </w:tcPr>
          <w:p>
            <w:pPr>
              <w:jc w:val="right"/>
              <w:ind w:right="4"/>
              <w:spacing w:after="0"/>
              <w:rPr>
                <w:sz w:val="20"/>
                <w:szCs w:val="20"/>
                <w:color w:val="auto"/>
              </w:rPr>
            </w:pPr>
            <w:r>
              <w:rPr>
                <w:rFonts w:ascii="Arial" w:cs="Arial" w:eastAsia="Arial" w:hAnsi="Arial"/>
                <w:sz w:val="15"/>
                <w:szCs w:val="15"/>
                <w:b w:val="1"/>
                <w:bCs w:val="1"/>
                <w:color w:val="auto"/>
              </w:rPr>
              <w:t>Stockholder</w:t>
            </w:r>
          </w:p>
        </w:tc>
        <w:tc>
          <w:tcPr>
            <w:tcW w:w="1020" w:type="dxa"/>
            <w:vAlign w:val="bottom"/>
            <w:gridSpan w:val="3"/>
          </w:tcPr>
          <w:p>
            <w:pPr>
              <w:ind w:left="80"/>
              <w:spacing w:after="0"/>
              <w:rPr>
                <w:sz w:val="20"/>
                <w:szCs w:val="20"/>
                <w:color w:val="auto"/>
              </w:rPr>
            </w:pPr>
            <w:r>
              <w:rPr>
                <w:rFonts w:ascii="Arial" w:cs="Arial" w:eastAsia="Arial" w:hAnsi="Arial"/>
                <w:sz w:val="15"/>
                <w:szCs w:val="15"/>
                <w:b w:val="1"/>
                <w:bCs w:val="1"/>
                <w:color w:val="auto"/>
              </w:rPr>
              <w:t>Stockholder</w:t>
            </w:r>
          </w:p>
        </w:tc>
        <w:tc>
          <w:tcPr>
            <w:tcW w:w="240" w:type="dxa"/>
            <w:vAlign w:val="bottom"/>
          </w:tcPr>
          <w:p>
            <w:pPr>
              <w:spacing w:after="0"/>
              <w:rPr>
                <w:sz w:val="15"/>
                <w:szCs w:val="15"/>
                <w:color w:val="auto"/>
              </w:rPr>
            </w:pPr>
          </w:p>
        </w:tc>
        <w:tc>
          <w:tcPr>
            <w:tcW w:w="1120" w:type="dxa"/>
            <w:vAlign w:val="bottom"/>
          </w:tcPr>
          <w:p>
            <w:pPr>
              <w:ind w:left="80"/>
              <w:spacing w:after="0"/>
              <w:rPr>
                <w:sz w:val="20"/>
                <w:szCs w:val="20"/>
                <w:color w:val="auto"/>
              </w:rPr>
            </w:pPr>
            <w:r>
              <w:rPr>
                <w:rFonts w:ascii="Arial" w:cs="Arial" w:eastAsia="Arial" w:hAnsi="Arial"/>
                <w:sz w:val="15"/>
                <w:szCs w:val="15"/>
                <w:b w:val="1"/>
                <w:bCs w:val="1"/>
                <w:color w:val="auto"/>
              </w:rPr>
              <w:t>Net Income</w:t>
            </w:r>
          </w:p>
        </w:tc>
        <w:tc>
          <w:tcPr>
            <w:tcW w:w="200" w:type="dxa"/>
            <w:vAlign w:val="bottom"/>
          </w:tcPr>
          <w:p>
            <w:pPr>
              <w:spacing w:after="0"/>
              <w:rPr>
                <w:sz w:val="15"/>
                <w:szCs w:val="15"/>
                <w:color w:val="auto"/>
              </w:rPr>
            </w:pPr>
          </w:p>
        </w:tc>
        <w:tc>
          <w:tcPr>
            <w:tcW w:w="1280" w:type="dxa"/>
            <w:vAlign w:val="bottom"/>
          </w:tcPr>
          <w:p>
            <w:pPr>
              <w:jc w:val="right"/>
              <w:ind w:right="146"/>
              <w:spacing w:after="0"/>
              <w:rPr>
                <w:sz w:val="20"/>
                <w:szCs w:val="20"/>
                <w:color w:val="auto"/>
              </w:rPr>
            </w:pPr>
            <w:r>
              <w:rPr>
                <w:rFonts w:ascii="Arial" w:cs="Arial" w:eastAsia="Arial" w:hAnsi="Arial"/>
                <w:sz w:val="15"/>
                <w:szCs w:val="15"/>
                <w:b w:val="1"/>
                <w:bCs w:val="1"/>
                <w:color w:val="auto"/>
              </w:rPr>
              <w:t>EBITDA</w:t>
            </w:r>
          </w:p>
        </w:tc>
        <w:tc>
          <w:tcPr>
            <w:tcW w:w="940" w:type="dxa"/>
            <w:vAlign w:val="bottom"/>
            <w:gridSpan w:val="3"/>
          </w:tcPr>
          <w:p>
            <w:pPr>
              <w:jc w:val="right"/>
              <w:ind w:right="137"/>
              <w:spacing w:after="0"/>
              <w:rPr>
                <w:sz w:val="20"/>
                <w:szCs w:val="20"/>
                <w:color w:val="auto"/>
              </w:rPr>
            </w:pPr>
            <w:r>
              <w:rPr>
                <w:rFonts w:ascii="Arial" w:cs="Arial" w:eastAsia="Arial" w:hAnsi="Arial"/>
                <w:sz w:val="15"/>
                <w:szCs w:val="15"/>
                <w:b w:val="1"/>
                <w:bCs w:val="1"/>
                <w:color w:val="auto"/>
              </w:rPr>
              <w:t>EPS (per</w:t>
            </w:r>
          </w:p>
        </w:tc>
        <w:tc>
          <w:tcPr>
            <w:tcW w:w="0" w:type="dxa"/>
            <w:vAlign w:val="bottom"/>
          </w:tcPr>
          <w:p>
            <w:pPr>
              <w:spacing w:after="0"/>
              <w:rPr>
                <w:sz w:val="1"/>
                <w:szCs w:val="1"/>
                <w:color w:val="auto"/>
              </w:rPr>
            </w:pPr>
          </w:p>
        </w:tc>
      </w:tr>
      <w:tr>
        <w:trPr>
          <w:trHeight w:val="114"/>
        </w:trPr>
        <w:tc>
          <w:tcPr>
            <w:tcW w:w="4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Year</w:t>
            </w:r>
          </w:p>
        </w:tc>
        <w:tc>
          <w:tcPr>
            <w:tcW w:w="126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auto"/>
              </w:rPr>
              <w:t>CEO</w:t>
            </w:r>
          </w:p>
        </w:tc>
        <w:tc>
          <w:tcPr>
            <w:tcW w:w="500" w:type="dxa"/>
            <w:vAlign w:val="bottom"/>
          </w:tcPr>
          <w:p>
            <w:pPr>
              <w:spacing w:after="0"/>
              <w:rPr>
                <w:sz w:val="9"/>
                <w:szCs w:val="9"/>
                <w:color w:val="auto"/>
              </w:rPr>
            </w:pPr>
          </w:p>
        </w:tc>
        <w:tc>
          <w:tcPr>
            <w:tcW w:w="880" w:type="dxa"/>
            <w:vAlign w:val="bottom"/>
          </w:tcPr>
          <w:p>
            <w:pPr>
              <w:jc w:val="right"/>
              <w:ind w:right="46"/>
              <w:spacing w:after="0" w:line="114" w:lineRule="exact"/>
              <w:rPr>
                <w:sz w:val="20"/>
                <w:szCs w:val="20"/>
                <w:color w:val="auto"/>
              </w:rPr>
            </w:pPr>
            <w:r>
              <w:rPr>
                <w:rFonts w:ascii="Arial" w:cs="Arial" w:eastAsia="Arial" w:hAnsi="Arial"/>
                <w:sz w:val="13"/>
                <w:szCs w:val="13"/>
                <w:b w:val="1"/>
                <w:bCs w:val="1"/>
                <w:color w:val="auto"/>
              </w:rPr>
              <w:t>(1)(2)(5)</w:t>
            </w:r>
          </w:p>
        </w:tc>
        <w:tc>
          <w:tcPr>
            <w:tcW w:w="12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NEOs</w:t>
            </w:r>
          </w:p>
        </w:tc>
        <w:tc>
          <w:tcPr>
            <w:tcW w:w="180" w:type="dxa"/>
            <w:vAlign w:val="bottom"/>
          </w:tcPr>
          <w:p>
            <w:pPr>
              <w:spacing w:after="0"/>
              <w:rPr>
                <w:sz w:val="9"/>
                <w:szCs w:val="9"/>
                <w:color w:val="auto"/>
              </w:rPr>
            </w:pPr>
          </w:p>
        </w:tc>
        <w:tc>
          <w:tcPr>
            <w:tcW w:w="500" w:type="dxa"/>
            <w:vAlign w:val="bottom"/>
            <w:vMerge w:val="restart"/>
          </w:tcPr>
          <w:p>
            <w:pPr>
              <w:ind w:left="80"/>
              <w:spacing w:after="0"/>
              <w:rPr>
                <w:sz w:val="20"/>
                <w:szCs w:val="20"/>
                <w:color w:val="auto"/>
              </w:rPr>
            </w:pPr>
            <w:r>
              <w:rPr>
                <w:rFonts w:ascii="Arial" w:cs="Arial" w:eastAsia="Arial" w:hAnsi="Arial"/>
                <w:sz w:val="15"/>
                <w:szCs w:val="15"/>
                <w:b w:val="1"/>
                <w:bCs w:val="1"/>
                <w:color w:val="auto"/>
                <w:w w:val="97"/>
              </w:rPr>
              <w:t>NEOs</w:t>
            </w:r>
          </w:p>
        </w:tc>
        <w:tc>
          <w:tcPr>
            <w:tcW w:w="520" w:type="dxa"/>
            <w:vAlign w:val="bottom"/>
          </w:tcPr>
          <w:p>
            <w:pPr>
              <w:jc w:val="right"/>
              <w:spacing w:after="0" w:line="114" w:lineRule="exact"/>
              <w:rPr>
                <w:sz w:val="20"/>
                <w:szCs w:val="20"/>
                <w:color w:val="auto"/>
              </w:rPr>
            </w:pPr>
            <w:r>
              <w:rPr>
                <w:rFonts w:ascii="Arial" w:cs="Arial" w:eastAsia="Arial" w:hAnsi="Arial"/>
                <w:sz w:val="13"/>
                <w:szCs w:val="13"/>
                <w:b w:val="1"/>
                <w:bCs w:val="1"/>
                <w:color w:val="auto"/>
                <w:w w:val="92"/>
              </w:rPr>
              <w:t>(1)(2)(5)</w:t>
            </w:r>
          </w:p>
        </w:tc>
        <w:tc>
          <w:tcPr>
            <w:tcW w:w="80" w:type="dxa"/>
            <w:vAlign w:val="bottom"/>
          </w:tcPr>
          <w:p>
            <w:pPr>
              <w:spacing w:after="0"/>
              <w:rPr>
                <w:sz w:val="9"/>
                <w:szCs w:val="9"/>
                <w:color w:val="auto"/>
              </w:rPr>
            </w:pPr>
          </w:p>
        </w:tc>
        <w:tc>
          <w:tcPr>
            <w:tcW w:w="94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Return</w:t>
            </w:r>
          </w:p>
        </w:tc>
        <w:tc>
          <w:tcPr>
            <w:tcW w:w="220" w:type="dxa"/>
            <w:vAlign w:val="bottom"/>
          </w:tcPr>
          <w:p>
            <w:pPr>
              <w:spacing w:after="0"/>
              <w:rPr>
                <w:sz w:val="9"/>
                <w:szCs w:val="9"/>
                <w:color w:val="auto"/>
              </w:rPr>
            </w:pPr>
          </w:p>
        </w:tc>
        <w:tc>
          <w:tcPr>
            <w:tcW w:w="800" w:type="dxa"/>
            <w:vAlign w:val="bottom"/>
            <w:gridSpan w:val="2"/>
          </w:tcPr>
          <w:p>
            <w:pPr>
              <w:jc w:val="right"/>
              <w:ind w:right="80"/>
              <w:spacing w:after="0" w:line="114" w:lineRule="exact"/>
              <w:rPr>
                <w:sz w:val="20"/>
                <w:szCs w:val="20"/>
                <w:color w:val="auto"/>
              </w:rPr>
            </w:pPr>
            <w:r>
              <w:rPr>
                <w:rFonts w:ascii="Arial" w:cs="Arial" w:eastAsia="Arial" w:hAnsi="Arial"/>
                <w:sz w:val="13"/>
                <w:szCs w:val="13"/>
                <w:b w:val="1"/>
                <w:bCs w:val="1"/>
                <w:color w:val="auto"/>
              </w:rPr>
              <w:t>(3)</w:t>
            </w:r>
          </w:p>
        </w:tc>
        <w:tc>
          <w:tcPr>
            <w:tcW w:w="136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(in Thousands)</w:t>
            </w:r>
          </w:p>
        </w:tc>
        <w:tc>
          <w:tcPr>
            <w:tcW w:w="200" w:type="dxa"/>
            <w:vAlign w:val="bottom"/>
          </w:tcPr>
          <w:p>
            <w:pPr>
              <w:spacing w:after="0"/>
              <w:rPr>
                <w:sz w:val="9"/>
                <w:szCs w:val="9"/>
                <w:color w:val="auto"/>
              </w:rPr>
            </w:pPr>
          </w:p>
        </w:tc>
        <w:tc>
          <w:tcPr>
            <w:tcW w:w="1280" w:type="dxa"/>
            <w:vAlign w:val="bottom"/>
          </w:tcPr>
          <w:p>
            <w:pPr>
              <w:jc w:val="right"/>
              <w:ind w:right="146"/>
              <w:spacing w:after="0" w:line="114" w:lineRule="exact"/>
              <w:rPr>
                <w:sz w:val="20"/>
                <w:szCs w:val="20"/>
                <w:color w:val="auto"/>
              </w:rPr>
            </w:pPr>
            <w:r>
              <w:rPr>
                <w:rFonts w:ascii="Arial" w:cs="Arial" w:eastAsia="Arial" w:hAnsi="Arial"/>
                <w:sz w:val="13"/>
                <w:szCs w:val="13"/>
                <w:b w:val="1"/>
                <w:bCs w:val="1"/>
                <w:color w:val="auto"/>
              </w:rPr>
              <w:t>(4)</w:t>
            </w:r>
          </w:p>
        </w:tc>
        <w:tc>
          <w:tcPr>
            <w:tcW w:w="60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w w:val="97"/>
              </w:rPr>
              <w:t>share)</w:t>
            </w:r>
          </w:p>
        </w:tc>
        <w:tc>
          <w:tcPr>
            <w:tcW w:w="340" w:type="dxa"/>
            <w:vAlign w:val="bottom"/>
          </w:tcPr>
          <w:p>
            <w:pPr>
              <w:jc w:val="right"/>
              <w:ind w:right="137"/>
              <w:spacing w:after="0" w:line="114" w:lineRule="exact"/>
              <w:rPr>
                <w:sz w:val="20"/>
                <w:szCs w:val="20"/>
                <w:color w:val="auto"/>
              </w:rPr>
            </w:pPr>
            <w:r>
              <w:rPr>
                <w:rFonts w:ascii="Arial" w:cs="Arial" w:eastAsia="Arial" w:hAnsi="Arial"/>
                <w:sz w:val="13"/>
                <w:szCs w:val="13"/>
                <w:b w:val="1"/>
                <w:bCs w:val="1"/>
                <w:color w:val="auto"/>
                <w:w w:val="75"/>
              </w:rPr>
              <w:t>(4)</w:t>
            </w:r>
          </w:p>
        </w:tc>
        <w:tc>
          <w:tcPr>
            <w:tcW w:w="0" w:type="dxa"/>
            <w:vAlign w:val="bottom"/>
          </w:tcPr>
          <w:p>
            <w:pPr>
              <w:spacing w:after="0"/>
              <w:rPr>
                <w:sz w:val="1"/>
                <w:szCs w:val="1"/>
                <w:color w:val="auto"/>
              </w:rPr>
            </w:pPr>
          </w:p>
        </w:tc>
      </w:tr>
      <w:tr>
        <w:trPr>
          <w:trHeight w:val="114"/>
        </w:trPr>
        <w:tc>
          <w:tcPr>
            <w:tcW w:w="460" w:type="dxa"/>
            <w:vAlign w:val="bottom"/>
            <w:tcBorders>
              <w:bottom w:val="single" w:sz="8" w:color="002F4D"/>
            </w:tcBorders>
            <w:vMerge w:val="continue"/>
          </w:tcPr>
          <w:p>
            <w:pPr>
              <w:spacing w:after="0"/>
              <w:rPr>
                <w:sz w:val="9"/>
                <w:szCs w:val="9"/>
                <w:color w:val="auto"/>
              </w:rPr>
            </w:pPr>
          </w:p>
        </w:tc>
        <w:tc>
          <w:tcPr>
            <w:tcW w:w="1260" w:type="dxa"/>
            <w:vAlign w:val="bottom"/>
            <w:tcBorders>
              <w:bottom w:val="single" w:sz="8" w:color="002F4D"/>
            </w:tcBorders>
            <w:vMerge w:val="continue"/>
          </w:tcPr>
          <w:p>
            <w:pPr>
              <w:spacing w:after="0"/>
              <w:rPr>
                <w:sz w:val="9"/>
                <w:szCs w:val="9"/>
                <w:color w:val="auto"/>
              </w:rPr>
            </w:pPr>
          </w:p>
        </w:tc>
        <w:tc>
          <w:tcPr>
            <w:tcW w:w="1380" w:type="dxa"/>
            <w:vAlign w:val="bottom"/>
            <w:tcBorders>
              <w:bottom w:val="single" w:sz="8" w:color="002F4D"/>
            </w:tcBorders>
            <w:gridSpan w:val="2"/>
          </w:tcPr>
          <w:p>
            <w:pPr>
              <w:jc w:val="right"/>
              <w:ind w:right="506"/>
              <w:spacing w:after="0" w:line="114" w:lineRule="exact"/>
              <w:rPr>
                <w:sz w:val="20"/>
                <w:szCs w:val="20"/>
                <w:color w:val="auto"/>
              </w:rPr>
            </w:pPr>
            <w:r>
              <w:rPr>
                <w:rFonts w:ascii="Arial" w:cs="Arial" w:eastAsia="Arial" w:hAnsi="Arial"/>
                <w:sz w:val="13"/>
                <w:szCs w:val="13"/>
                <w:b w:val="1"/>
                <w:bCs w:val="1"/>
                <w:color w:val="auto"/>
              </w:rPr>
              <w:t>CEO</w:t>
            </w:r>
          </w:p>
        </w:tc>
        <w:tc>
          <w:tcPr>
            <w:tcW w:w="1220" w:type="dxa"/>
            <w:vAlign w:val="bottom"/>
            <w:tcBorders>
              <w:bottom w:val="single" w:sz="8" w:color="002F4D"/>
            </w:tcBorders>
            <w:vMerge w:val="continue"/>
          </w:tcPr>
          <w:p>
            <w:pPr>
              <w:spacing w:after="0"/>
              <w:rPr>
                <w:sz w:val="9"/>
                <w:szCs w:val="9"/>
                <w:color w:val="auto"/>
              </w:rPr>
            </w:pPr>
          </w:p>
        </w:tc>
        <w:tc>
          <w:tcPr>
            <w:tcW w:w="180" w:type="dxa"/>
            <w:vAlign w:val="bottom"/>
            <w:tcBorders>
              <w:bottom w:val="single" w:sz="8" w:color="002F4D"/>
            </w:tcBorders>
          </w:tcPr>
          <w:p>
            <w:pPr>
              <w:spacing w:after="0"/>
              <w:rPr>
                <w:sz w:val="9"/>
                <w:szCs w:val="9"/>
                <w:color w:val="auto"/>
              </w:rPr>
            </w:pPr>
          </w:p>
        </w:tc>
        <w:tc>
          <w:tcPr>
            <w:tcW w:w="500" w:type="dxa"/>
            <w:vAlign w:val="bottom"/>
            <w:tcBorders>
              <w:bottom w:val="single" w:sz="8" w:color="002F4D"/>
            </w:tcBorders>
            <w:vMerge w:val="continue"/>
          </w:tcPr>
          <w:p>
            <w:pPr>
              <w:spacing w:after="0"/>
              <w:rPr>
                <w:sz w:val="9"/>
                <w:szCs w:val="9"/>
                <w:color w:val="auto"/>
              </w:rPr>
            </w:pPr>
          </w:p>
        </w:tc>
        <w:tc>
          <w:tcPr>
            <w:tcW w:w="520" w:type="dxa"/>
            <w:vAlign w:val="bottom"/>
            <w:tcBorders>
              <w:bottom w:val="single" w:sz="8" w:color="002F4D"/>
            </w:tcBorders>
          </w:tcPr>
          <w:p>
            <w:pPr>
              <w:spacing w:after="0"/>
              <w:rPr>
                <w:sz w:val="9"/>
                <w:szCs w:val="9"/>
                <w:color w:val="auto"/>
              </w:rPr>
            </w:pPr>
          </w:p>
        </w:tc>
        <w:tc>
          <w:tcPr>
            <w:tcW w:w="80" w:type="dxa"/>
            <w:vAlign w:val="bottom"/>
            <w:tcBorders>
              <w:bottom w:val="single" w:sz="8" w:color="002F4D"/>
            </w:tcBorders>
          </w:tcPr>
          <w:p>
            <w:pPr>
              <w:spacing w:after="0"/>
              <w:rPr>
                <w:sz w:val="9"/>
                <w:szCs w:val="9"/>
                <w:color w:val="auto"/>
              </w:rPr>
            </w:pPr>
          </w:p>
        </w:tc>
        <w:tc>
          <w:tcPr>
            <w:tcW w:w="940" w:type="dxa"/>
            <w:vAlign w:val="bottom"/>
            <w:tcBorders>
              <w:bottom w:val="single" w:sz="8" w:color="002F4D"/>
            </w:tcBorders>
            <w:vMerge w:val="continue"/>
          </w:tcPr>
          <w:p>
            <w:pPr>
              <w:spacing w:after="0"/>
              <w:rPr>
                <w:sz w:val="9"/>
                <w:szCs w:val="9"/>
                <w:color w:val="auto"/>
              </w:rPr>
            </w:pPr>
          </w:p>
        </w:tc>
        <w:tc>
          <w:tcPr>
            <w:tcW w:w="220" w:type="dxa"/>
            <w:vAlign w:val="bottom"/>
            <w:tcBorders>
              <w:bottom w:val="single" w:sz="8" w:color="002F4D"/>
            </w:tcBorders>
          </w:tcPr>
          <w:p>
            <w:pPr>
              <w:spacing w:after="0"/>
              <w:rPr>
                <w:sz w:val="9"/>
                <w:szCs w:val="9"/>
                <w:color w:val="auto"/>
              </w:rPr>
            </w:pPr>
          </w:p>
        </w:tc>
        <w:tc>
          <w:tcPr>
            <w:tcW w:w="800" w:type="dxa"/>
            <w:vAlign w:val="bottom"/>
            <w:tcBorders>
              <w:bottom w:val="single" w:sz="8" w:color="002F4D"/>
            </w:tcBorders>
            <w:gridSpan w:val="2"/>
          </w:tcPr>
          <w:p>
            <w:pPr>
              <w:jc w:val="right"/>
              <w:ind w:right="220"/>
              <w:spacing w:after="0" w:line="114" w:lineRule="exact"/>
              <w:rPr>
                <w:sz w:val="20"/>
                <w:szCs w:val="20"/>
                <w:color w:val="auto"/>
              </w:rPr>
            </w:pPr>
            <w:r>
              <w:rPr>
                <w:rFonts w:ascii="Arial" w:cs="Arial" w:eastAsia="Arial" w:hAnsi="Arial"/>
                <w:sz w:val="13"/>
                <w:szCs w:val="13"/>
                <w:b w:val="1"/>
                <w:bCs w:val="1"/>
                <w:color w:val="auto"/>
              </w:rPr>
              <w:t>Return</w:t>
            </w:r>
          </w:p>
        </w:tc>
        <w:tc>
          <w:tcPr>
            <w:tcW w:w="1360" w:type="dxa"/>
            <w:vAlign w:val="bottom"/>
            <w:tcBorders>
              <w:bottom w:val="single" w:sz="8" w:color="002F4D"/>
            </w:tcBorders>
            <w:gridSpan w:val="2"/>
            <w:vMerge w:val="continue"/>
          </w:tcPr>
          <w:p>
            <w:pPr>
              <w:spacing w:after="0"/>
              <w:rPr>
                <w:sz w:val="9"/>
                <w:szCs w:val="9"/>
                <w:color w:val="auto"/>
              </w:rPr>
            </w:pPr>
          </w:p>
        </w:tc>
        <w:tc>
          <w:tcPr>
            <w:tcW w:w="1480" w:type="dxa"/>
            <w:vAlign w:val="bottom"/>
            <w:tcBorders>
              <w:bottom w:val="single" w:sz="8" w:color="002F4D"/>
            </w:tcBorders>
            <w:gridSpan w:val="2"/>
          </w:tcPr>
          <w:p>
            <w:pPr>
              <w:ind w:left="60"/>
              <w:spacing w:after="0" w:line="114" w:lineRule="exact"/>
              <w:rPr>
                <w:sz w:val="20"/>
                <w:szCs w:val="20"/>
                <w:color w:val="auto"/>
              </w:rPr>
            </w:pPr>
            <w:r>
              <w:rPr>
                <w:rFonts w:ascii="Arial" w:cs="Arial" w:eastAsia="Arial" w:hAnsi="Arial"/>
                <w:sz w:val="13"/>
                <w:szCs w:val="13"/>
                <w:b w:val="1"/>
                <w:bCs w:val="1"/>
                <w:color w:val="auto"/>
              </w:rPr>
              <w:t>(in thousands)</w:t>
            </w:r>
          </w:p>
        </w:tc>
        <w:tc>
          <w:tcPr>
            <w:tcW w:w="600" w:type="dxa"/>
            <w:vAlign w:val="bottom"/>
            <w:tcBorders>
              <w:bottom w:val="single" w:sz="8" w:color="002F4D"/>
            </w:tcBorders>
            <w:gridSpan w:val="2"/>
            <w:vMerge w:val="continue"/>
          </w:tcPr>
          <w:p>
            <w:pPr>
              <w:spacing w:after="0"/>
              <w:rPr>
                <w:sz w:val="9"/>
                <w:szCs w:val="9"/>
                <w:color w:val="auto"/>
              </w:rPr>
            </w:pPr>
          </w:p>
        </w:tc>
        <w:tc>
          <w:tcPr>
            <w:tcW w:w="340" w:type="dxa"/>
            <w:vAlign w:val="bottom"/>
            <w:tcBorders>
              <w:bottom w:val="single" w:sz="8" w:color="002F4D"/>
            </w:tcBorders>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46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auto"/>
              </w:rPr>
              <w:t>2025</w:t>
            </w:r>
          </w:p>
        </w:tc>
        <w:tc>
          <w:tcPr>
            <w:tcW w:w="1260" w:type="dxa"/>
            <w:vAlign w:val="bottom"/>
            <w:tcBorders>
              <w:bottom w:val="single" w:sz="8" w:color="002F4D"/>
            </w:tcBorders>
          </w:tcPr>
          <w:p>
            <w:pPr>
              <w:jc w:val="right"/>
              <w:ind w:right="64"/>
              <w:spacing w:after="0"/>
              <w:rPr>
                <w:sz w:val="20"/>
                <w:szCs w:val="20"/>
                <w:color w:val="auto"/>
              </w:rPr>
            </w:pPr>
            <w:r>
              <w:rPr>
                <w:rFonts w:ascii="Arial" w:cs="Arial" w:eastAsia="Arial" w:hAnsi="Arial"/>
                <w:sz w:val="15"/>
                <w:szCs w:val="15"/>
                <w:color w:val="auto"/>
              </w:rPr>
              <w:t>$8,207,849</w:t>
            </w:r>
          </w:p>
        </w:tc>
        <w:tc>
          <w:tcPr>
            <w:tcW w:w="50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002F4D"/>
            </w:tcBorders>
          </w:tcPr>
          <w:p>
            <w:pPr>
              <w:jc w:val="right"/>
              <w:ind w:right="46"/>
              <w:spacing w:after="0"/>
              <w:rPr>
                <w:sz w:val="20"/>
                <w:szCs w:val="20"/>
                <w:color w:val="auto"/>
              </w:rPr>
            </w:pPr>
            <w:r>
              <w:rPr>
                <w:rFonts w:ascii="Arial" w:cs="Arial" w:eastAsia="Arial" w:hAnsi="Arial"/>
                <w:sz w:val="15"/>
                <w:szCs w:val="15"/>
                <w:color w:val="auto"/>
                <w:w w:val="98"/>
              </w:rPr>
              <w:t>10,955,546</w:t>
            </w:r>
          </w:p>
        </w:tc>
        <w:tc>
          <w:tcPr>
            <w:tcW w:w="122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$2,993,031</w:t>
            </w:r>
          </w:p>
        </w:tc>
        <w:tc>
          <w:tcPr>
            <w:tcW w:w="180" w:type="dxa"/>
            <w:vAlign w:val="bottom"/>
            <w:tcBorders>
              <w:bottom w:val="single" w:sz="8" w:color="002F4D"/>
            </w:tcBorders>
          </w:tcPr>
          <w:p>
            <w:pPr>
              <w:ind w:left="80"/>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002F4D"/>
            </w:tcBorders>
            <w:gridSpan w:val="2"/>
          </w:tcPr>
          <w:p>
            <w:pPr>
              <w:jc w:val="right"/>
              <w:spacing w:after="0"/>
              <w:rPr>
                <w:sz w:val="20"/>
                <w:szCs w:val="20"/>
                <w:color w:val="auto"/>
              </w:rPr>
            </w:pPr>
            <w:r>
              <w:rPr>
                <w:rFonts w:ascii="Arial" w:cs="Arial" w:eastAsia="Arial" w:hAnsi="Arial"/>
                <w:sz w:val="15"/>
                <w:szCs w:val="15"/>
                <w:color w:val="auto"/>
              </w:rPr>
              <w:t>3,860,860</w:t>
            </w:r>
          </w:p>
        </w:tc>
        <w:tc>
          <w:tcPr>
            <w:tcW w:w="1020" w:type="dxa"/>
            <w:vAlign w:val="bottom"/>
            <w:tcBorders>
              <w:bottom w:val="single" w:sz="8" w:color="002F4D"/>
            </w:tcBorders>
            <w:gridSpan w:val="2"/>
          </w:tcPr>
          <w:p>
            <w:pPr>
              <w:jc w:val="right"/>
              <w:ind w:right="4"/>
              <w:spacing w:after="0"/>
              <w:rPr>
                <w:sz w:val="20"/>
                <w:szCs w:val="20"/>
                <w:color w:val="auto"/>
              </w:rPr>
            </w:pPr>
            <w:r>
              <w:rPr>
                <w:rFonts w:ascii="Arial" w:cs="Arial" w:eastAsia="Arial" w:hAnsi="Arial"/>
                <w:sz w:val="15"/>
                <w:szCs w:val="15"/>
                <w:color w:val="auto"/>
              </w:rPr>
              <w:t>$ 115.32</w:t>
            </w:r>
          </w:p>
        </w:tc>
        <w:tc>
          <w:tcPr>
            <w:tcW w:w="22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167.10</w:t>
            </w:r>
          </w:p>
        </w:tc>
        <w:tc>
          <w:tcPr>
            <w:tcW w:w="80" w:type="dxa"/>
            <w:vAlign w:val="bottom"/>
            <w:tcBorders>
              <w:bottom w:val="single" w:sz="8" w:color="002F4D"/>
            </w:tcBorders>
          </w:tcPr>
          <w:p>
            <w:pPr>
              <w:spacing w:after="0"/>
              <w:rPr>
                <w:sz w:val="19"/>
                <w:szCs w:val="19"/>
                <w:color w:val="auto"/>
              </w:rPr>
            </w:pPr>
          </w:p>
        </w:tc>
        <w:tc>
          <w:tcPr>
            <w:tcW w:w="24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002F4D"/>
            </w:tcBorders>
          </w:tcPr>
          <w:p>
            <w:pPr>
              <w:ind w:left="360"/>
              <w:spacing w:after="0" w:line="220" w:lineRule="exact"/>
              <w:rPr>
                <w:sz w:val="20"/>
                <w:szCs w:val="20"/>
                <w:color w:val="auto"/>
              </w:rPr>
            </w:pPr>
            <w:r>
              <w:rPr>
                <w:rFonts w:ascii="Arial" w:cs="Arial" w:eastAsia="Arial" w:hAnsi="Arial"/>
                <w:sz w:val="15"/>
                <w:szCs w:val="15"/>
                <w:color w:val="auto"/>
                <w:w w:val="99"/>
              </w:rPr>
              <w:t>367,267</w:t>
            </w:r>
            <w:r>
              <w:rPr>
                <w:rFonts w:ascii="Arial" w:cs="Arial" w:eastAsia="Arial" w:hAnsi="Arial"/>
                <w:sz w:val="25"/>
                <w:szCs w:val="25"/>
                <w:color w:val="auto"/>
                <w:w w:val="99"/>
                <w:vertAlign w:val="superscript"/>
              </w:rPr>
              <w:t>(6)</w:t>
            </w:r>
          </w:p>
        </w:tc>
        <w:tc>
          <w:tcPr>
            <w:tcW w:w="20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002F4D"/>
            </w:tcBorders>
          </w:tcPr>
          <w:p>
            <w:pPr>
              <w:ind w:left="500"/>
              <w:spacing w:after="0" w:line="220" w:lineRule="exact"/>
              <w:rPr>
                <w:sz w:val="20"/>
                <w:szCs w:val="20"/>
                <w:color w:val="auto"/>
              </w:rPr>
            </w:pPr>
            <w:r>
              <w:rPr>
                <w:rFonts w:ascii="Arial" w:cs="Arial" w:eastAsia="Arial" w:hAnsi="Arial"/>
                <w:sz w:val="15"/>
                <w:szCs w:val="15"/>
                <w:color w:val="auto"/>
              </w:rPr>
              <w:t>719,490</w:t>
            </w:r>
            <w:r>
              <w:rPr>
                <w:rFonts w:ascii="Arial" w:cs="Arial" w:eastAsia="Arial" w:hAnsi="Arial"/>
                <w:sz w:val="25"/>
                <w:szCs w:val="25"/>
                <w:color w:val="auto"/>
                <w:vertAlign w:val="superscript"/>
              </w:rPr>
              <w:t>(6)</w:t>
            </w:r>
          </w:p>
        </w:tc>
        <w:tc>
          <w:tcPr>
            <w:tcW w:w="30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002F4D"/>
            </w:tcBorders>
            <w:gridSpan w:val="2"/>
          </w:tcPr>
          <w:p>
            <w:pPr>
              <w:jc w:val="right"/>
              <w:spacing w:after="0" w:line="220" w:lineRule="exact"/>
              <w:rPr>
                <w:sz w:val="20"/>
                <w:szCs w:val="20"/>
                <w:color w:val="auto"/>
              </w:rPr>
            </w:pPr>
            <w:r>
              <w:rPr>
                <w:rFonts w:ascii="Arial" w:cs="Arial" w:eastAsia="Arial" w:hAnsi="Arial"/>
                <w:sz w:val="15"/>
                <w:szCs w:val="15"/>
                <w:color w:val="auto"/>
              </w:rPr>
              <w:t>8.39</w:t>
            </w:r>
            <w:r>
              <w:rPr>
                <w:rFonts w:ascii="Arial" w:cs="Arial" w:eastAsia="Arial" w:hAnsi="Arial"/>
                <w:sz w:val="25"/>
                <w:szCs w:val="25"/>
                <w:color w:val="auto"/>
                <w:vertAlign w:val="superscript"/>
              </w:rPr>
              <w:t>(6)</w:t>
            </w:r>
          </w:p>
        </w:tc>
        <w:tc>
          <w:tcPr>
            <w:tcW w:w="0" w:type="dxa"/>
            <w:vAlign w:val="bottom"/>
          </w:tcPr>
          <w:p>
            <w:pPr>
              <w:spacing w:after="0"/>
              <w:rPr>
                <w:sz w:val="1"/>
                <w:szCs w:val="1"/>
                <w:color w:val="auto"/>
              </w:rPr>
            </w:pPr>
          </w:p>
        </w:tc>
      </w:tr>
      <w:tr>
        <w:trPr>
          <w:trHeight w:val="182"/>
        </w:trPr>
        <w:tc>
          <w:tcPr>
            <w:tcW w:w="46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auto"/>
              </w:rPr>
              <w:t>2024</w:t>
            </w:r>
          </w:p>
        </w:tc>
        <w:tc>
          <w:tcPr>
            <w:tcW w:w="1260" w:type="dxa"/>
            <w:vAlign w:val="bottom"/>
            <w:tcBorders>
              <w:bottom w:val="single" w:sz="8" w:color="002F4D"/>
            </w:tcBorders>
          </w:tcPr>
          <w:p>
            <w:pPr>
              <w:jc w:val="right"/>
              <w:ind w:right="64"/>
              <w:spacing w:after="0"/>
              <w:rPr>
                <w:sz w:val="20"/>
                <w:szCs w:val="20"/>
                <w:color w:val="auto"/>
              </w:rPr>
            </w:pPr>
            <w:r>
              <w:rPr>
                <w:rFonts w:ascii="Arial" w:cs="Arial" w:eastAsia="Arial" w:hAnsi="Arial"/>
                <w:sz w:val="15"/>
                <w:szCs w:val="15"/>
                <w:color w:val="auto"/>
              </w:rPr>
              <w:t>$7,525,481</w:t>
            </w:r>
          </w:p>
        </w:tc>
        <w:tc>
          <w:tcPr>
            <w:tcW w:w="50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002F4D"/>
            </w:tcBorders>
          </w:tcPr>
          <w:p>
            <w:pPr>
              <w:jc w:val="right"/>
              <w:ind w:right="46"/>
              <w:spacing w:after="0"/>
              <w:rPr>
                <w:sz w:val="20"/>
                <w:szCs w:val="20"/>
                <w:color w:val="auto"/>
              </w:rPr>
            </w:pPr>
            <w:r>
              <w:rPr>
                <w:rFonts w:ascii="Arial" w:cs="Arial" w:eastAsia="Arial" w:hAnsi="Arial"/>
                <w:sz w:val="15"/>
                <w:szCs w:val="15"/>
                <w:color w:val="auto"/>
                <w:w w:val="98"/>
              </w:rPr>
              <w:t>10,011,061</w:t>
            </w:r>
          </w:p>
        </w:tc>
        <w:tc>
          <w:tcPr>
            <w:tcW w:w="122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$2,787,733</w:t>
            </w:r>
          </w:p>
        </w:tc>
        <w:tc>
          <w:tcPr>
            <w:tcW w:w="180" w:type="dxa"/>
            <w:vAlign w:val="bottom"/>
            <w:tcBorders>
              <w:bottom w:val="single" w:sz="8" w:color="002F4D"/>
            </w:tcBorders>
          </w:tcPr>
          <w:p>
            <w:pPr>
              <w:ind w:left="80"/>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002F4D"/>
            </w:tcBorders>
            <w:gridSpan w:val="2"/>
          </w:tcPr>
          <w:p>
            <w:pPr>
              <w:jc w:val="right"/>
              <w:spacing w:after="0"/>
              <w:rPr>
                <w:sz w:val="20"/>
                <w:szCs w:val="20"/>
                <w:color w:val="auto"/>
              </w:rPr>
            </w:pPr>
            <w:r>
              <w:rPr>
                <w:rFonts w:ascii="Arial" w:cs="Arial" w:eastAsia="Arial" w:hAnsi="Arial"/>
                <w:sz w:val="15"/>
                <w:szCs w:val="15"/>
                <w:color w:val="auto"/>
              </w:rPr>
              <w:t>3,714,051</w:t>
            </w:r>
          </w:p>
        </w:tc>
        <w:tc>
          <w:tcPr>
            <w:tcW w:w="1020" w:type="dxa"/>
            <w:vAlign w:val="bottom"/>
            <w:tcBorders>
              <w:bottom w:val="single" w:sz="8" w:color="002F4D"/>
            </w:tcBorders>
            <w:gridSpan w:val="2"/>
          </w:tcPr>
          <w:p>
            <w:pPr>
              <w:jc w:val="right"/>
              <w:ind w:right="4"/>
              <w:spacing w:after="0"/>
              <w:rPr>
                <w:sz w:val="20"/>
                <w:szCs w:val="20"/>
                <w:color w:val="auto"/>
              </w:rPr>
            </w:pPr>
            <w:r>
              <w:rPr>
                <w:rFonts w:ascii="Arial" w:cs="Arial" w:eastAsia="Arial" w:hAnsi="Arial"/>
                <w:sz w:val="15"/>
                <w:szCs w:val="15"/>
                <w:color w:val="auto"/>
              </w:rPr>
              <w:t>$ 105.07</w:t>
            </w:r>
          </w:p>
        </w:tc>
        <w:tc>
          <w:tcPr>
            <w:tcW w:w="22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154.05</w:t>
            </w:r>
          </w:p>
        </w:tc>
        <w:tc>
          <w:tcPr>
            <w:tcW w:w="80" w:type="dxa"/>
            <w:vAlign w:val="bottom"/>
            <w:tcBorders>
              <w:bottom w:val="single" w:sz="8" w:color="002F4D"/>
            </w:tcBorders>
          </w:tcPr>
          <w:p>
            <w:pPr>
              <w:spacing w:after="0"/>
              <w:rPr>
                <w:sz w:val="15"/>
                <w:szCs w:val="15"/>
                <w:color w:val="auto"/>
              </w:rPr>
            </w:pPr>
          </w:p>
        </w:tc>
        <w:tc>
          <w:tcPr>
            <w:tcW w:w="24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002F4D"/>
            </w:tcBorders>
          </w:tcPr>
          <w:p>
            <w:pPr>
              <w:ind w:left="360"/>
              <w:spacing w:after="0"/>
              <w:rPr>
                <w:sz w:val="20"/>
                <w:szCs w:val="20"/>
                <w:color w:val="auto"/>
              </w:rPr>
            </w:pPr>
            <w:r>
              <w:rPr>
                <w:rFonts w:ascii="Arial" w:cs="Arial" w:eastAsia="Arial" w:hAnsi="Arial"/>
                <w:sz w:val="15"/>
                <w:szCs w:val="15"/>
                <w:color w:val="auto"/>
              </w:rPr>
              <w:t>428,433</w:t>
            </w:r>
          </w:p>
        </w:tc>
        <w:tc>
          <w:tcPr>
            <w:tcW w:w="20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002F4D"/>
            </w:tcBorders>
          </w:tcPr>
          <w:p>
            <w:pPr>
              <w:ind w:left="500"/>
              <w:spacing w:after="0"/>
              <w:rPr>
                <w:sz w:val="20"/>
                <w:szCs w:val="20"/>
                <w:color w:val="auto"/>
              </w:rPr>
            </w:pPr>
            <w:r>
              <w:rPr>
                <w:rFonts w:ascii="Arial" w:cs="Arial" w:eastAsia="Arial" w:hAnsi="Arial"/>
                <w:sz w:val="15"/>
                <w:szCs w:val="15"/>
                <w:color w:val="auto"/>
              </w:rPr>
              <w:t>866,295</w:t>
            </w:r>
          </w:p>
        </w:tc>
        <w:tc>
          <w:tcPr>
            <w:tcW w:w="30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002F4D"/>
            </w:tcBorders>
            <w:gridSpan w:val="2"/>
          </w:tcPr>
          <w:p>
            <w:pPr>
              <w:jc w:val="right"/>
              <w:ind w:right="137"/>
              <w:spacing w:after="0"/>
              <w:rPr>
                <w:sz w:val="20"/>
                <w:szCs w:val="20"/>
                <w:color w:val="auto"/>
              </w:rPr>
            </w:pPr>
            <w:r>
              <w:rPr>
                <w:rFonts w:ascii="Arial" w:cs="Arial" w:eastAsia="Arial" w:hAnsi="Arial"/>
                <w:sz w:val="15"/>
                <w:szCs w:val="15"/>
                <w:color w:val="auto"/>
              </w:rPr>
              <w:t>9.49</w:t>
            </w:r>
          </w:p>
        </w:tc>
        <w:tc>
          <w:tcPr>
            <w:tcW w:w="0" w:type="dxa"/>
            <w:vAlign w:val="bottom"/>
          </w:tcPr>
          <w:p>
            <w:pPr>
              <w:spacing w:after="0"/>
              <w:rPr>
                <w:sz w:val="1"/>
                <w:szCs w:val="1"/>
                <w:color w:val="auto"/>
              </w:rPr>
            </w:pPr>
          </w:p>
        </w:tc>
      </w:tr>
      <w:tr>
        <w:trPr>
          <w:trHeight w:val="182"/>
        </w:trPr>
        <w:tc>
          <w:tcPr>
            <w:tcW w:w="46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auto"/>
              </w:rPr>
              <w:t>2023</w:t>
            </w:r>
          </w:p>
        </w:tc>
        <w:tc>
          <w:tcPr>
            <w:tcW w:w="1260" w:type="dxa"/>
            <w:vAlign w:val="bottom"/>
            <w:tcBorders>
              <w:bottom w:val="single" w:sz="8" w:color="002F4D"/>
            </w:tcBorders>
          </w:tcPr>
          <w:p>
            <w:pPr>
              <w:jc w:val="right"/>
              <w:ind w:right="64"/>
              <w:spacing w:after="0"/>
              <w:rPr>
                <w:sz w:val="20"/>
                <w:szCs w:val="20"/>
                <w:color w:val="auto"/>
              </w:rPr>
            </w:pPr>
            <w:r>
              <w:rPr>
                <w:rFonts w:ascii="Arial" w:cs="Arial" w:eastAsia="Arial" w:hAnsi="Arial"/>
                <w:sz w:val="15"/>
                <w:szCs w:val="15"/>
                <w:color w:val="auto"/>
              </w:rPr>
              <w:t>$8,434,879</w:t>
            </w:r>
          </w:p>
        </w:tc>
        <w:tc>
          <w:tcPr>
            <w:tcW w:w="50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002F4D"/>
            </w:tcBorders>
          </w:tcPr>
          <w:p>
            <w:pPr>
              <w:jc w:val="right"/>
              <w:ind w:right="46"/>
              <w:spacing w:after="0"/>
              <w:rPr>
                <w:sz w:val="20"/>
                <w:szCs w:val="20"/>
                <w:color w:val="auto"/>
              </w:rPr>
            </w:pPr>
            <w:r>
              <w:rPr>
                <w:rFonts w:ascii="Arial" w:cs="Arial" w:eastAsia="Arial" w:hAnsi="Arial"/>
                <w:sz w:val="15"/>
                <w:szCs w:val="15"/>
                <w:color w:val="auto"/>
                <w:w w:val="98"/>
              </w:rPr>
              <w:t>12,211,462</w:t>
            </w:r>
          </w:p>
        </w:tc>
        <w:tc>
          <w:tcPr>
            <w:tcW w:w="122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$3,199,021</w:t>
            </w:r>
          </w:p>
        </w:tc>
        <w:tc>
          <w:tcPr>
            <w:tcW w:w="180" w:type="dxa"/>
            <w:vAlign w:val="bottom"/>
            <w:tcBorders>
              <w:bottom w:val="single" w:sz="8" w:color="002F4D"/>
            </w:tcBorders>
          </w:tcPr>
          <w:p>
            <w:pPr>
              <w:ind w:left="80"/>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002F4D"/>
            </w:tcBorders>
            <w:gridSpan w:val="2"/>
          </w:tcPr>
          <w:p>
            <w:pPr>
              <w:jc w:val="right"/>
              <w:spacing w:after="0"/>
              <w:rPr>
                <w:sz w:val="20"/>
                <w:szCs w:val="20"/>
                <w:color w:val="auto"/>
              </w:rPr>
            </w:pPr>
            <w:r>
              <w:rPr>
                <w:rFonts w:ascii="Arial" w:cs="Arial" w:eastAsia="Arial" w:hAnsi="Arial"/>
                <w:sz w:val="15"/>
                <w:szCs w:val="15"/>
                <w:color w:val="auto"/>
              </w:rPr>
              <w:t>4,196,866</w:t>
            </w:r>
          </w:p>
        </w:tc>
        <w:tc>
          <w:tcPr>
            <w:tcW w:w="1020" w:type="dxa"/>
            <w:vAlign w:val="bottom"/>
            <w:tcBorders>
              <w:bottom w:val="single" w:sz="8" w:color="002F4D"/>
            </w:tcBorders>
            <w:gridSpan w:val="2"/>
          </w:tcPr>
          <w:p>
            <w:pPr>
              <w:jc w:val="right"/>
              <w:ind w:right="4"/>
              <w:spacing w:after="0"/>
              <w:rPr>
                <w:sz w:val="20"/>
                <w:szCs w:val="20"/>
                <w:color w:val="auto"/>
              </w:rPr>
            </w:pPr>
            <w:r>
              <w:rPr>
                <w:rFonts w:ascii="Arial" w:cs="Arial" w:eastAsia="Arial" w:hAnsi="Arial"/>
                <w:sz w:val="15"/>
                <w:szCs w:val="15"/>
                <w:color w:val="auto"/>
              </w:rPr>
              <w:t>$ 114.16</w:t>
            </w:r>
          </w:p>
        </w:tc>
        <w:tc>
          <w:tcPr>
            <w:tcW w:w="22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138.46</w:t>
            </w:r>
          </w:p>
        </w:tc>
        <w:tc>
          <w:tcPr>
            <w:tcW w:w="80" w:type="dxa"/>
            <w:vAlign w:val="bottom"/>
            <w:tcBorders>
              <w:bottom w:val="single" w:sz="8" w:color="002F4D"/>
            </w:tcBorders>
          </w:tcPr>
          <w:p>
            <w:pPr>
              <w:spacing w:after="0"/>
              <w:rPr>
                <w:sz w:val="15"/>
                <w:szCs w:val="15"/>
                <w:color w:val="auto"/>
              </w:rPr>
            </w:pPr>
          </w:p>
        </w:tc>
        <w:tc>
          <w:tcPr>
            <w:tcW w:w="24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002F4D"/>
            </w:tcBorders>
          </w:tcPr>
          <w:p>
            <w:pPr>
              <w:ind w:left="360"/>
              <w:spacing w:after="0"/>
              <w:rPr>
                <w:sz w:val="20"/>
                <w:szCs w:val="20"/>
                <w:color w:val="auto"/>
              </w:rPr>
            </w:pPr>
            <w:r>
              <w:rPr>
                <w:rFonts w:ascii="Arial" w:cs="Arial" w:eastAsia="Arial" w:hAnsi="Arial"/>
                <w:sz w:val="15"/>
                <w:szCs w:val="15"/>
                <w:color w:val="auto"/>
              </w:rPr>
              <w:t>400,882</w:t>
            </w:r>
          </w:p>
        </w:tc>
        <w:tc>
          <w:tcPr>
            <w:tcW w:w="20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002F4D"/>
            </w:tcBorders>
          </w:tcPr>
          <w:p>
            <w:pPr>
              <w:ind w:left="500"/>
              <w:spacing w:after="0"/>
              <w:rPr>
                <w:sz w:val="20"/>
                <w:szCs w:val="20"/>
                <w:color w:val="auto"/>
              </w:rPr>
            </w:pPr>
            <w:r>
              <w:rPr>
                <w:rFonts w:ascii="Arial" w:cs="Arial" w:eastAsia="Arial" w:hAnsi="Arial"/>
                <w:sz w:val="15"/>
                <w:szCs w:val="15"/>
                <w:color w:val="auto"/>
              </w:rPr>
              <w:t>900,394</w:t>
            </w:r>
          </w:p>
        </w:tc>
        <w:tc>
          <w:tcPr>
            <w:tcW w:w="30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002F4D"/>
            </w:tcBorders>
            <w:gridSpan w:val="2"/>
          </w:tcPr>
          <w:p>
            <w:pPr>
              <w:jc w:val="right"/>
              <w:ind w:right="137"/>
              <w:spacing w:after="0"/>
              <w:rPr>
                <w:sz w:val="20"/>
                <w:szCs w:val="20"/>
                <w:color w:val="auto"/>
              </w:rPr>
            </w:pPr>
            <w:r>
              <w:rPr>
                <w:rFonts w:ascii="Arial" w:cs="Arial" w:eastAsia="Arial" w:hAnsi="Arial"/>
                <w:sz w:val="15"/>
                <w:szCs w:val="15"/>
                <w:color w:val="auto"/>
              </w:rPr>
              <w:t>9.70</w:t>
            </w:r>
          </w:p>
        </w:tc>
        <w:tc>
          <w:tcPr>
            <w:tcW w:w="0" w:type="dxa"/>
            <w:vAlign w:val="bottom"/>
          </w:tcPr>
          <w:p>
            <w:pPr>
              <w:spacing w:after="0"/>
              <w:rPr>
                <w:sz w:val="1"/>
                <w:szCs w:val="1"/>
                <w:color w:val="auto"/>
              </w:rPr>
            </w:pPr>
          </w:p>
        </w:tc>
      </w:tr>
      <w:tr>
        <w:trPr>
          <w:trHeight w:val="182"/>
        </w:trPr>
        <w:tc>
          <w:tcPr>
            <w:tcW w:w="46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auto"/>
              </w:rPr>
              <w:t>2022</w:t>
            </w:r>
          </w:p>
        </w:tc>
        <w:tc>
          <w:tcPr>
            <w:tcW w:w="1260" w:type="dxa"/>
            <w:vAlign w:val="bottom"/>
            <w:tcBorders>
              <w:bottom w:val="single" w:sz="8" w:color="002F4D"/>
            </w:tcBorders>
          </w:tcPr>
          <w:p>
            <w:pPr>
              <w:jc w:val="right"/>
              <w:ind w:right="64"/>
              <w:spacing w:after="0"/>
              <w:rPr>
                <w:sz w:val="20"/>
                <w:szCs w:val="20"/>
                <w:color w:val="auto"/>
              </w:rPr>
            </w:pPr>
            <w:r>
              <w:rPr>
                <w:rFonts w:ascii="Arial" w:cs="Arial" w:eastAsia="Arial" w:hAnsi="Arial"/>
                <w:sz w:val="15"/>
                <w:szCs w:val="15"/>
                <w:color w:val="auto"/>
              </w:rPr>
              <w:t>$9,402,045</w:t>
            </w:r>
          </w:p>
        </w:tc>
        <w:tc>
          <w:tcPr>
            <w:tcW w:w="50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002F4D"/>
            </w:tcBorders>
          </w:tcPr>
          <w:p>
            <w:pPr>
              <w:jc w:val="right"/>
              <w:ind w:right="46"/>
              <w:spacing w:after="0"/>
              <w:rPr>
                <w:sz w:val="20"/>
                <w:szCs w:val="20"/>
                <w:color w:val="auto"/>
              </w:rPr>
            </w:pPr>
            <w:r>
              <w:rPr>
                <w:rFonts w:ascii="Arial" w:cs="Arial" w:eastAsia="Arial" w:hAnsi="Arial"/>
                <w:sz w:val="15"/>
                <w:szCs w:val="15"/>
                <w:color w:val="auto"/>
              </w:rPr>
              <w:t>7,174,921</w:t>
            </w:r>
          </w:p>
        </w:tc>
        <w:tc>
          <w:tcPr>
            <w:tcW w:w="122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$3,353,429</w:t>
            </w:r>
          </w:p>
        </w:tc>
        <w:tc>
          <w:tcPr>
            <w:tcW w:w="180" w:type="dxa"/>
            <w:vAlign w:val="bottom"/>
            <w:tcBorders>
              <w:bottom w:val="single" w:sz="8" w:color="002F4D"/>
            </w:tcBorders>
          </w:tcPr>
          <w:p>
            <w:pPr>
              <w:ind w:left="80"/>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002F4D"/>
            </w:tcBorders>
            <w:gridSpan w:val="2"/>
          </w:tcPr>
          <w:p>
            <w:pPr>
              <w:jc w:val="right"/>
              <w:spacing w:after="0"/>
              <w:rPr>
                <w:sz w:val="20"/>
                <w:szCs w:val="20"/>
                <w:color w:val="auto"/>
              </w:rPr>
            </w:pPr>
            <w:r>
              <w:rPr>
                <w:rFonts w:ascii="Arial" w:cs="Arial" w:eastAsia="Arial" w:hAnsi="Arial"/>
                <w:sz w:val="15"/>
                <w:szCs w:val="15"/>
                <w:color w:val="auto"/>
              </w:rPr>
              <w:t>2,801,501</w:t>
            </w:r>
          </w:p>
        </w:tc>
        <w:tc>
          <w:tcPr>
            <w:tcW w:w="1020" w:type="dxa"/>
            <w:vAlign w:val="bottom"/>
            <w:tcBorders>
              <w:bottom w:val="single" w:sz="8" w:color="002F4D"/>
            </w:tcBorders>
            <w:gridSpan w:val="2"/>
          </w:tcPr>
          <w:p>
            <w:pPr>
              <w:jc w:val="right"/>
              <w:ind w:right="4"/>
              <w:spacing w:after="0"/>
              <w:rPr>
                <w:sz w:val="20"/>
                <w:szCs w:val="20"/>
                <w:color w:val="auto"/>
              </w:rPr>
            </w:pPr>
            <w:r>
              <w:rPr>
                <w:rFonts w:ascii="Arial" w:cs="Arial" w:eastAsia="Arial" w:hAnsi="Arial"/>
                <w:sz w:val="15"/>
                <w:szCs w:val="15"/>
                <w:color w:val="auto"/>
              </w:rPr>
              <w:t>$ 103.86</w:t>
            </w:r>
          </w:p>
        </w:tc>
        <w:tc>
          <w:tcPr>
            <w:tcW w:w="22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105.96</w:t>
            </w:r>
          </w:p>
        </w:tc>
        <w:tc>
          <w:tcPr>
            <w:tcW w:w="80" w:type="dxa"/>
            <w:vAlign w:val="bottom"/>
            <w:tcBorders>
              <w:bottom w:val="single" w:sz="8" w:color="002F4D"/>
            </w:tcBorders>
          </w:tcPr>
          <w:p>
            <w:pPr>
              <w:spacing w:after="0"/>
              <w:rPr>
                <w:sz w:val="15"/>
                <w:szCs w:val="15"/>
                <w:color w:val="auto"/>
              </w:rPr>
            </w:pPr>
          </w:p>
        </w:tc>
        <w:tc>
          <w:tcPr>
            <w:tcW w:w="24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002F4D"/>
            </w:tcBorders>
          </w:tcPr>
          <w:p>
            <w:pPr>
              <w:ind w:left="360"/>
              <w:spacing w:after="0"/>
              <w:rPr>
                <w:sz w:val="20"/>
                <w:szCs w:val="20"/>
                <w:color w:val="auto"/>
              </w:rPr>
            </w:pPr>
            <w:r>
              <w:rPr>
                <w:rFonts w:ascii="Arial" w:cs="Arial" w:eastAsia="Arial" w:hAnsi="Arial"/>
                <w:sz w:val="15"/>
                <w:szCs w:val="15"/>
                <w:color w:val="auto"/>
              </w:rPr>
              <w:t>436,569</w:t>
            </w:r>
          </w:p>
        </w:tc>
        <w:tc>
          <w:tcPr>
            <w:tcW w:w="20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002F4D"/>
            </w:tcBorders>
          </w:tcPr>
          <w:p>
            <w:pPr>
              <w:ind w:left="500"/>
              <w:spacing w:after="0"/>
              <w:rPr>
                <w:sz w:val="20"/>
                <w:szCs w:val="20"/>
                <w:color w:val="auto"/>
              </w:rPr>
            </w:pPr>
            <w:r>
              <w:rPr>
                <w:rFonts w:ascii="Arial" w:cs="Arial" w:eastAsia="Arial" w:hAnsi="Arial"/>
                <w:sz w:val="15"/>
                <w:szCs w:val="15"/>
                <w:color w:val="auto"/>
              </w:rPr>
              <w:t>853,408</w:t>
            </w:r>
          </w:p>
        </w:tc>
        <w:tc>
          <w:tcPr>
            <w:tcW w:w="30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002F4D"/>
            </w:tcBorders>
            <w:gridSpan w:val="2"/>
          </w:tcPr>
          <w:p>
            <w:pPr>
              <w:jc w:val="right"/>
              <w:ind w:right="137"/>
              <w:spacing w:after="0"/>
              <w:rPr>
                <w:sz w:val="20"/>
                <w:szCs w:val="20"/>
                <w:color w:val="auto"/>
              </w:rPr>
            </w:pPr>
            <w:r>
              <w:rPr>
                <w:rFonts w:ascii="Arial" w:cs="Arial" w:eastAsia="Arial" w:hAnsi="Arial"/>
                <w:sz w:val="15"/>
                <w:szCs w:val="15"/>
                <w:color w:val="auto"/>
              </w:rPr>
              <w:t>9.10</w:t>
            </w:r>
          </w:p>
        </w:tc>
        <w:tc>
          <w:tcPr>
            <w:tcW w:w="0" w:type="dxa"/>
            <w:vAlign w:val="bottom"/>
          </w:tcPr>
          <w:p>
            <w:pPr>
              <w:spacing w:after="0"/>
              <w:rPr>
                <w:sz w:val="1"/>
                <w:szCs w:val="1"/>
                <w:color w:val="auto"/>
              </w:rPr>
            </w:pPr>
          </w:p>
        </w:tc>
      </w:tr>
      <w:tr>
        <w:trPr>
          <w:trHeight w:val="187"/>
        </w:trPr>
        <w:tc>
          <w:tcPr>
            <w:tcW w:w="46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auto"/>
              </w:rPr>
              <w:t>2021</w:t>
            </w:r>
          </w:p>
        </w:tc>
        <w:tc>
          <w:tcPr>
            <w:tcW w:w="1260" w:type="dxa"/>
            <w:vAlign w:val="bottom"/>
            <w:tcBorders>
              <w:bottom w:val="single" w:sz="8" w:color="002F4D"/>
            </w:tcBorders>
          </w:tcPr>
          <w:p>
            <w:pPr>
              <w:jc w:val="right"/>
              <w:ind w:right="64"/>
              <w:spacing w:after="0"/>
              <w:rPr>
                <w:sz w:val="20"/>
                <w:szCs w:val="20"/>
                <w:color w:val="auto"/>
              </w:rPr>
            </w:pPr>
            <w:r>
              <w:rPr>
                <w:rFonts w:ascii="Arial" w:cs="Arial" w:eastAsia="Arial" w:hAnsi="Arial"/>
                <w:sz w:val="15"/>
                <w:szCs w:val="15"/>
                <w:color w:val="auto"/>
              </w:rPr>
              <w:t>$9,406,995</w:t>
            </w:r>
          </w:p>
        </w:tc>
        <w:tc>
          <w:tcPr>
            <w:tcW w:w="50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002F4D"/>
            </w:tcBorders>
          </w:tcPr>
          <w:p>
            <w:pPr>
              <w:jc w:val="right"/>
              <w:ind w:right="46"/>
              <w:spacing w:after="0"/>
              <w:rPr>
                <w:sz w:val="20"/>
                <w:szCs w:val="20"/>
                <w:color w:val="auto"/>
              </w:rPr>
            </w:pPr>
            <w:r>
              <w:rPr>
                <w:rFonts w:ascii="Arial" w:cs="Arial" w:eastAsia="Arial" w:hAnsi="Arial"/>
                <w:sz w:val="15"/>
                <w:szCs w:val="15"/>
                <w:color w:val="auto"/>
                <w:w w:val="98"/>
              </w:rPr>
              <w:t>15,006,040</w:t>
            </w:r>
          </w:p>
        </w:tc>
        <w:tc>
          <w:tcPr>
            <w:tcW w:w="122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$3,580,324</w:t>
            </w:r>
          </w:p>
        </w:tc>
        <w:tc>
          <w:tcPr>
            <w:tcW w:w="180" w:type="dxa"/>
            <w:vAlign w:val="bottom"/>
            <w:tcBorders>
              <w:bottom w:val="single" w:sz="8" w:color="002F4D"/>
            </w:tcBorders>
          </w:tcPr>
          <w:p>
            <w:pPr>
              <w:ind w:left="80"/>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002F4D"/>
            </w:tcBorders>
            <w:gridSpan w:val="2"/>
          </w:tcPr>
          <w:p>
            <w:pPr>
              <w:jc w:val="right"/>
              <w:spacing w:after="0"/>
              <w:rPr>
                <w:sz w:val="20"/>
                <w:szCs w:val="20"/>
                <w:color w:val="auto"/>
              </w:rPr>
            </w:pPr>
            <w:r>
              <w:rPr>
                <w:rFonts w:ascii="Arial" w:cs="Arial" w:eastAsia="Arial" w:hAnsi="Arial"/>
                <w:sz w:val="15"/>
                <w:szCs w:val="15"/>
                <w:color w:val="auto"/>
              </w:rPr>
              <w:t>4,894,970</w:t>
            </w:r>
          </w:p>
        </w:tc>
        <w:tc>
          <w:tcPr>
            <w:tcW w:w="1020" w:type="dxa"/>
            <w:vAlign w:val="bottom"/>
            <w:tcBorders>
              <w:bottom w:val="single" w:sz="8" w:color="002F4D"/>
            </w:tcBorders>
            <w:gridSpan w:val="2"/>
          </w:tcPr>
          <w:p>
            <w:pPr>
              <w:jc w:val="right"/>
              <w:ind w:right="4"/>
              <w:spacing w:after="0"/>
              <w:rPr>
                <w:sz w:val="20"/>
                <w:szCs w:val="20"/>
                <w:color w:val="auto"/>
              </w:rPr>
            </w:pPr>
            <w:r>
              <w:rPr>
                <w:rFonts w:ascii="Arial" w:cs="Arial" w:eastAsia="Arial" w:hAnsi="Arial"/>
                <w:sz w:val="15"/>
                <w:szCs w:val="15"/>
                <w:color w:val="auto"/>
              </w:rPr>
              <w:t>$ 152.62</w:t>
            </w:r>
          </w:p>
        </w:tc>
        <w:tc>
          <w:tcPr>
            <w:tcW w:w="22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124.89</w:t>
            </w:r>
          </w:p>
        </w:tc>
        <w:tc>
          <w:tcPr>
            <w:tcW w:w="80" w:type="dxa"/>
            <w:vAlign w:val="bottom"/>
            <w:tcBorders>
              <w:bottom w:val="single" w:sz="8" w:color="002F4D"/>
            </w:tcBorders>
          </w:tcPr>
          <w:p>
            <w:pPr>
              <w:spacing w:after="0"/>
              <w:rPr>
                <w:sz w:val="16"/>
                <w:szCs w:val="16"/>
                <w:color w:val="auto"/>
              </w:rPr>
            </w:pPr>
          </w:p>
        </w:tc>
        <w:tc>
          <w:tcPr>
            <w:tcW w:w="24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002F4D"/>
            </w:tcBorders>
          </w:tcPr>
          <w:p>
            <w:pPr>
              <w:ind w:left="360"/>
              <w:spacing w:after="0"/>
              <w:rPr>
                <w:sz w:val="20"/>
                <w:szCs w:val="20"/>
                <w:color w:val="auto"/>
              </w:rPr>
            </w:pPr>
            <w:r>
              <w:rPr>
                <w:rFonts w:ascii="Arial" w:cs="Arial" w:eastAsia="Arial" w:hAnsi="Arial"/>
                <w:sz w:val="15"/>
                <w:szCs w:val="15"/>
                <w:color w:val="auto"/>
              </w:rPr>
              <w:t>488,492</w:t>
            </w:r>
          </w:p>
        </w:tc>
        <w:tc>
          <w:tcPr>
            <w:tcW w:w="20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002F4D"/>
            </w:tcBorders>
          </w:tcPr>
          <w:p>
            <w:pPr>
              <w:ind w:left="500"/>
              <w:spacing w:after="0"/>
              <w:rPr>
                <w:sz w:val="20"/>
                <w:szCs w:val="20"/>
                <w:color w:val="auto"/>
              </w:rPr>
            </w:pPr>
            <w:r>
              <w:rPr>
                <w:rFonts w:ascii="Arial" w:cs="Arial" w:eastAsia="Arial" w:hAnsi="Arial"/>
                <w:sz w:val="15"/>
                <w:szCs w:val="15"/>
                <w:color w:val="auto"/>
              </w:rPr>
              <w:t>712,574</w:t>
            </w:r>
          </w:p>
        </w:tc>
        <w:tc>
          <w:tcPr>
            <w:tcW w:w="30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002F4D"/>
            </w:tcBorders>
            <w:gridSpan w:val="2"/>
          </w:tcPr>
          <w:p>
            <w:pPr>
              <w:jc w:val="right"/>
              <w:ind w:right="137"/>
              <w:spacing w:after="0"/>
              <w:rPr>
                <w:sz w:val="20"/>
                <w:szCs w:val="20"/>
                <w:color w:val="auto"/>
              </w:rPr>
            </w:pPr>
            <w:r>
              <w:rPr>
                <w:rFonts w:ascii="Arial" w:cs="Arial" w:eastAsia="Arial" w:hAnsi="Arial"/>
                <w:sz w:val="15"/>
                <w:szCs w:val="15"/>
                <w:color w:val="auto"/>
              </w:rPr>
              <w:t>7.94</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300" w:right="100" w:hanging="299"/>
        <w:spacing w:after="0" w:line="251" w:lineRule="auto"/>
        <w:tabs>
          <w:tab w:leader="none" w:pos="3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“Compensation Actually Paid” amounts in these columns are calculated in the manner required by Item 402(v) of Regulation S-K. However, they do not represent the actual amount of compensation the Company considers to be earned by or paid to the NEOs during the applicable year. In particular, with respect to long-term equity incentive awards, “compensation actually paid” does not represent amounts actually paid to the NEO or necessarily the value that will ultimately be realized under long-term equity incentive awards. Rather, it primarily reflects the change in fair market value of equity awards during the applicable year, including for unvested awards subject to the achievement of performance targets in future years. Given the methodology under which CAP is required to be calculated, these amounts are subject to significant fluctuation based on stock price volatility and varying levels of projected and actual achievement with respect to PSU awards.</w:t>
      </w:r>
    </w:p>
    <w:p>
      <w:pPr>
        <w:spacing w:after="0" w:line="21" w:lineRule="exact"/>
        <w:rPr>
          <w:rFonts w:ascii="Arial" w:cs="Arial" w:eastAsia="Arial" w:hAnsi="Arial"/>
          <w:sz w:val="13"/>
          <w:szCs w:val="13"/>
          <w:color w:val="auto"/>
        </w:rPr>
      </w:pPr>
    </w:p>
    <w:p>
      <w:pPr>
        <w:ind w:left="300" w:hanging="299"/>
        <w:spacing w:after="0"/>
        <w:tabs>
          <w:tab w:leader="none" w:pos="3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table below sets forth the amounts deducted from and added to SCT total compensation to calculate CAP to the CEO and average CAP to the non-CEO NEOs:</w:t>
      </w:r>
    </w:p>
    <w:p>
      <w:pPr>
        <w:spacing w:after="0" w:line="18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002F4D"/>
            </w:tcBorders>
          </w:tcPr>
          <w:p>
            <w:pPr>
              <w:spacing w:after="0"/>
              <w:rPr>
                <w:sz w:val="14"/>
                <w:szCs w:val="14"/>
                <w:color w:val="auto"/>
              </w:rPr>
            </w:pPr>
          </w:p>
        </w:tc>
        <w:tc>
          <w:tcPr>
            <w:tcW w:w="760" w:type="dxa"/>
            <w:vAlign w:val="bottom"/>
            <w:tcBorders>
              <w:bottom w:val="single" w:sz="8" w:color="002F4D"/>
            </w:tcBorders>
          </w:tcPr>
          <w:p>
            <w:pPr>
              <w:spacing w:after="0"/>
              <w:rPr>
                <w:sz w:val="14"/>
                <w:szCs w:val="14"/>
                <w:color w:val="auto"/>
              </w:rPr>
            </w:pPr>
          </w:p>
        </w:tc>
        <w:tc>
          <w:tcPr>
            <w:tcW w:w="540" w:type="dxa"/>
            <w:vAlign w:val="bottom"/>
            <w:tcBorders>
              <w:bottom w:val="single" w:sz="8" w:color="002F4D"/>
            </w:tcBorders>
          </w:tcPr>
          <w:p>
            <w:pPr>
              <w:jc w:val="right"/>
              <w:ind w:right="133"/>
              <w:spacing w:after="0"/>
              <w:rPr>
                <w:sz w:val="20"/>
                <w:szCs w:val="20"/>
                <w:color w:val="auto"/>
              </w:rPr>
            </w:pPr>
            <w:r>
              <w:rPr>
                <w:rFonts w:ascii="Arial" w:cs="Arial" w:eastAsia="Arial" w:hAnsi="Arial"/>
                <w:sz w:val="13"/>
                <w:szCs w:val="13"/>
                <w:b w:val="1"/>
                <w:bCs w:val="1"/>
                <w:color w:val="auto"/>
              </w:rPr>
              <w:t>2025</w:t>
            </w:r>
          </w:p>
        </w:tc>
        <w:tc>
          <w:tcPr>
            <w:tcW w:w="840" w:type="dxa"/>
            <w:vAlign w:val="bottom"/>
            <w:tcBorders>
              <w:bottom w:val="single" w:sz="8" w:color="002F4D"/>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jc w:val="right"/>
              <w:ind w:right="33"/>
              <w:spacing w:after="0" w:line="134" w:lineRule="exact"/>
              <w:rPr>
                <w:sz w:val="20"/>
                <w:szCs w:val="20"/>
                <w:color w:val="auto"/>
              </w:rPr>
            </w:pPr>
            <w:r>
              <w:rPr>
                <w:rFonts w:ascii="Arial" w:cs="Arial" w:eastAsia="Arial" w:hAnsi="Arial"/>
                <w:sz w:val="13"/>
                <w:szCs w:val="13"/>
                <w:b w:val="1"/>
                <w:bCs w:val="1"/>
                <w:color w:val="auto"/>
              </w:rPr>
              <w:t>Average of</w:t>
            </w:r>
          </w:p>
        </w:tc>
        <w:tc>
          <w:tcPr>
            <w:tcW w:w="0" w:type="dxa"/>
            <w:vAlign w:val="bottom"/>
          </w:tcPr>
          <w:p>
            <w:pPr>
              <w:spacing w:after="0"/>
              <w:rPr>
                <w:sz w:val="1"/>
                <w:szCs w:val="1"/>
                <w:color w:val="auto"/>
              </w:rPr>
            </w:pPr>
          </w:p>
        </w:tc>
      </w:tr>
      <w:tr>
        <w:trPr>
          <w:trHeight w:val="151"/>
        </w:trPr>
        <w:tc>
          <w:tcPr>
            <w:tcW w:w="8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b w:val="1"/>
                <w:bCs w:val="1"/>
                <w:color w:val="auto"/>
              </w:rPr>
              <w:t>Non-CEO</w:t>
            </w:r>
          </w:p>
        </w:tc>
        <w:tc>
          <w:tcPr>
            <w:tcW w:w="0" w:type="dxa"/>
            <w:vAlign w:val="bottom"/>
          </w:tcPr>
          <w:p>
            <w:pPr>
              <w:spacing w:after="0"/>
              <w:rPr>
                <w:sz w:val="1"/>
                <w:szCs w:val="1"/>
                <w:color w:val="auto"/>
              </w:rPr>
            </w:pPr>
          </w:p>
        </w:tc>
      </w:tr>
      <w:tr>
        <w:trPr>
          <w:trHeight w:val="161"/>
        </w:trPr>
        <w:tc>
          <w:tcPr>
            <w:tcW w:w="8480" w:type="dxa"/>
            <w:vAlign w:val="bottom"/>
            <w:tcBorders>
              <w:bottom w:val="single" w:sz="8" w:color="002F4D"/>
            </w:tcBorders>
          </w:tcPr>
          <w:p>
            <w:pPr>
              <w:ind w:left="60"/>
              <w:spacing w:after="0"/>
              <w:rPr>
                <w:sz w:val="20"/>
                <w:szCs w:val="20"/>
                <w:color w:val="auto"/>
              </w:rPr>
            </w:pPr>
            <w:r>
              <w:rPr>
                <w:rFonts w:ascii="Arial" w:cs="Arial" w:eastAsia="Arial" w:hAnsi="Arial"/>
                <w:sz w:val="13"/>
                <w:szCs w:val="13"/>
                <w:b w:val="1"/>
                <w:bCs w:val="1"/>
                <w:color w:val="auto"/>
              </w:rPr>
              <w:t>Adjustments</w:t>
            </w:r>
          </w:p>
        </w:tc>
        <w:tc>
          <w:tcPr>
            <w:tcW w:w="160" w:type="dxa"/>
            <w:vAlign w:val="bottom"/>
            <w:tcBorders>
              <w:bottom w:val="single" w:sz="8" w:color="002F4D"/>
            </w:tcBorders>
          </w:tcPr>
          <w:p>
            <w:pPr>
              <w:spacing w:after="0"/>
              <w:rPr>
                <w:sz w:val="14"/>
                <w:szCs w:val="14"/>
                <w:color w:val="auto"/>
              </w:rPr>
            </w:pPr>
          </w:p>
        </w:tc>
        <w:tc>
          <w:tcPr>
            <w:tcW w:w="160" w:type="dxa"/>
            <w:vAlign w:val="bottom"/>
            <w:tcBorders>
              <w:bottom w:val="single" w:sz="8" w:color="002F4D"/>
            </w:tcBorders>
          </w:tcPr>
          <w:p>
            <w:pPr>
              <w:spacing w:after="0"/>
              <w:rPr>
                <w:sz w:val="14"/>
                <w:szCs w:val="14"/>
                <w:color w:val="auto"/>
              </w:rPr>
            </w:pPr>
          </w:p>
        </w:tc>
        <w:tc>
          <w:tcPr>
            <w:tcW w:w="760" w:type="dxa"/>
            <w:vAlign w:val="bottom"/>
            <w:tcBorders>
              <w:bottom w:val="single" w:sz="8" w:color="002F4D"/>
            </w:tcBorders>
          </w:tcPr>
          <w:p>
            <w:pPr>
              <w:jc w:val="right"/>
              <w:spacing w:after="0"/>
              <w:rPr>
                <w:sz w:val="20"/>
                <w:szCs w:val="20"/>
                <w:color w:val="auto"/>
              </w:rPr>
            </w:pPr>
            <w:r>
              <w:rPr>
                <w:rFonts w:ascii="Arial" w:cs="Arial" w:eastAsia="Arial" w:hAnsi="Arial"/>
                <w:sz w:val="13"/>
                <w:szCs w:val="13"/>
                <w:b w:val="1"/>
                <w:bCs w:val="1"/>
                <w:color w:val="auto"/>
              </w:rPr>
              <w:t>CEO</w:t>
            </w:r>
          </w:p>
        </w:tc>
        <w:tc>
          <w:tcPr>
            <w:tcW w:w="540" w:type="dxa"/>
            <w:vAlign w:val="bottom"/>
            <w:tcBorders>
              <w:bottom w:val="single" w:sz="8" w:color="002F4D"/>
            </w:tcBorders>
          </w:tcPr>
          <w:p>
            <w:pPr>
              <w:spacing w:after="0"/>
              <w:rPr>
                <w:sz w:val="14"/>
                <w:szCs w:val="14"/>
                <w:color w:val="auto"/>
              </w:rPr>
            </w:pPr>
          </w:p>
        </w:tc>
        <w:tc>
          <w:tcPr>
            <w:tcW w:w="840" w:type="dxa"/>
            <w:vAlign w:val="bottom"/>
            <w:tcBorders>
              <w:bottom w:val="single" w:sz="8" w:color="002F4D"/>
            </w:tcBorders>
          </w:tcPr>
          <w:p>
            <w:pPr>
              <w:jc w:val="right"/>
              <w:ind w:right="33"/>
              <w:spacing w:after="0"/>
              <w:rPr>
                <w:sz w:val="20"/>
                <w:szCs w:val="20"/>
                <w:color w:val="auto"/>
              </w:rPr>
            </w:pPr>
            <w:r>
              <w:rPr>
                <w:rFonts w:ascii="Arial" w:cs="Arial" w:eastAsia="Arial" w:hAnsi="Arial"/>
                <w:sz w:val="13"/>
                <w:szCs w:val="13"/>
                <w:b w:val="1"/>
                <w:bCs w:val="1"/>
                <w:color w:val="auto"/>
              </w:rPr>
              <w:t>NEOs</w:t>
            </w:r>
          </w:p>
        </w:tc>
        <w:tc>
          <w:tcPr>
            <w:tcW w:w="0" w:type="dxa"/>
            <w:vAlign w:val="bottom"/>
          </w:tcPr>
          <w:p>
            <w:pPr>
              <w:spacing w:after="0"/>
              <w:rPr>
                <w:sz w:val="1"/>
                <w:szCs w:val="1"/>
                <w:color w:val="auto"/>
              </w:rPr>
            </w:pPr>
          </w:p>
        </w:tc>
      </w:tr>
      <w:tr>
        <w:trPr>
          <w:trHeight w:val="157"/>
        </w:trPr>
        <w:tc>
          <w:tcPr>
            <w:tcW w:w="8480" w:type="dxa"/>
            <w:vAlign w:val="bottom"/>
            <w:tcBorders>
              <w:bottom w:val="single" w:sz="8" w:color="002F4D"/>
            </w:tcBorders>
          </w:tcPr>
          <w:p>
            <w:pPr>
              <w:ind w:left="60"/>
              <w:spacing w:after="0"/>
              <w:rPr>
                <w:sz w:val="20"/>
                <w:szCs w:val="20"/>
                <w:color w:val="auto"/>
              </w:rPr>
            </w:pPr>
            <w:r>
              <w:rPr>
                <w:rFonts w:ascii="Arial" w:cs="Arial" w:eastAsia="Arial" w:hAnsi="Arial"/>
                <w:sz w:val="13"/>
                <w:szCs w:val="13"/>
                <w:b w:val="1"/>
                <w:bCs w:val="1"/>
                <w:color w:val="auto"/>
              </w:rPr>
              <w:t>Total Compensation from SCT</w:t>
            </w:r>
          </w:p>
        </w:tc>
        <w:tc>
          <w:tcPr>
            <w:tcW w:w="320" w:type="dxa"/>
            <w:vAlign w:val="bottom"/>
            <w:tcBorders>
              <w:bottom w:val="single" w:sz="8" w:color="002F4D"/>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002F4D"/>
            </w:tcBorders>
          </w:tcPr>
          <w:p>
            <w:pPr>
              <w:jc w:val="right"/>
              <w:spacing w:after="0"/>
              <w:rPr>
                <w:sz w:val="20"/>
                <w:szCs w:val="20"/>
                <w:color w:val="auto"/>
              </w:rPr>
            </w:pPr>
            <w:r>
              <w:rPr>
                <w:rFonts w:ascii="Arial" w:cs="Arial" w:eastAsia="Arial" w:hAnsi="Arial"/>
                <w:sz w:val="13"/>
                <w:szCs w:val="13"/>
                <w:color w:val="auto"/>
              </w:rPr>
              <w:t>8,207,849</w:t>
            </w:r>
          </w:p>
        </w:tc>
        <w:tc>
          <w:tcPr>
            <w:tcW w:w="540" w:type="dxa"/>
            <w:vAlign w:val="bottom"/>
            <w:tcBorders>
              <w:bottom w:val="single" w:sz="8" w:color="002F4D"/>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002F4D"/>
            </w:tcBorders>
          </w:tcPr>
          <w:p>
            <w:pPr>
              <w:jc w:val="right"/>
              <w:ind w:right="33"/>
              <w:spacing w:after="0"/>
              <w:rPr>
                <w:sz w:val="20"/>
                <w:szCs w:val="20"/>
                <w:color w:val="auto"/>
              </w:rPr>
            </w:pPr>
            <w:r>
              <w:rPr>
                <w:rFonts w:ascii="Arial" w:cs="Arial" w:eastAsia="Arial" w:hAnsi="Arial"/>
                <w:sz w:val="13"/>
                <w:szCs w:val="13"/>
                <w:color w:val="auto"/>
              </w:rPr>
              <w:t>2,993,031</w:t>
            </w:r>
          </w:p>
        </w:tc>
        <w:tc>
          <w:tcPr>
            <w:tcW w:w="0" w:type="dxa"/>
            <w:vAlign w:val="bottom"/>
          </w:tcPr>
          <w:p>
            <w:pPr>
              <w:spacing w:after="0"/>
              <w:rPr>
                <w:sz w:val="1"/>
                <w:szCs w:val="1"/>
                <w:color w:val="auto"/>
              </w:rPr>
            </w:pPr>
          </w:p>
        </w:tc>
      </w:tr>
      <w:tr>
        <w:trPr>
          <w:trHeight w:val="157"/>
        </w:trPr>
        <w:tc>
          <w:tcPr>
            <w:tcW w:w="8480" w:type="dxa"/>
            <w:vAlign w:val="bottom"/>
            <w:tcBorders>
              <w:bottom w:val="single" w:sz="8" w:color="002F4D"/>
            </w:tcBorders>
          </w:tcPr>
          <w:p>
            <w:pPr>
              <w:ind w:left="60"/>
              <w:spacing w:after="0"/>
              <w:rPr>
                <w:sz w:val="20"/>
                <w:szCs w:val="20"/>
                <w:color w:val="auto"/>
              </w:rPr>
            </w:pPr>
            <w:r>
              <w:rPr>
                <w:rFonts w:ascii="Arial" w:cs="Arial" w:eastAsia="Arial" w:hAnsi="Arial"/>
                <w:sz w:val="13"/>
                <w:szCs w:val="13"/>
                <w:b w:val="1"/>
                <w:bCs w:val="1"/>
                <w:color w:val="auto"/>
              </w:rPr>
              <w:t>Less, Change in Pension Value reported in SCT</w:t>
            </w:r>
          </w:p>
        </w:tc>
        <w:tc>
          <w:tcPr>
            <w:tcW w:w="320" w:type="dxa"/>
            <w:vAlign w:val="bottom"/>
            <w:tcBorders>
              <w:bottom w:val="single" w:sz="8" w:color="002F4D"/>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002F4D"/>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002F4D"/>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002F4D"/>
            </w:tcBorders>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480" w:type="dxa"/>
            <w:vAlign w:val="bottom"/>
            <w:tcBorders>
              <w:bottom w:val="single" w:sz="8" w:color="002F4D"/>
            </w:tcBorders>
          </w:tcPr>
          <w:p>
            <w:pPr>
              <w:ind w:left="60"/>
              <w:spacing w:after="0"/>
              <w:rPr>
                <w:sz w:val="20"/>
                <w:szCs w:val="20"/>
                <w:color w:val="auto"/>
              </w:rPr>
            </w:pPr>
            <w:r>
              <w:rPr>
                <w:rFonts w:ascii="Arial" w:cs="Arial" w:eastAsia="Arial" w:hAnsi="Arial"/>
                <w:sz w:val="13"/>
                <w:szCs w:val="13"/>
                <w:b w:val="1"/>
                <w:bCs w:val="1"/>
                <w:color w:val="auto"/>
              </w:rPr>
              <w:t>Plus, service cost</w:t>
            </w:r>
          </w:p>
        </w:tc>
        <w:tc>
          <w:tcPr>
            <w:tcW w:w="320" w:type="dxa"/>
            <w:vAlign w:val="bottom"/>
            <w:tcBorders>
              <w:bottom w:val="single" w:sz="8" w:color="002F4D"/>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002F4D"/>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002F4D"/>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002F4D"/>
            </w:tcBorders>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480" w:type="dxa"/>
            <w:vAlign w:val="bottom"/>
            <w:tcBorders>
              <w:bottom w:val="single" w:sz="8" w:color="002F4D"/>
            </w:tcBorders>
          </w:tcPr>
          <w:p>
            <w:pPr>
              <w:ind w:left="60"/>
              <w:spacing w:after="0"/>
              <w:rPr>
                <w:sz w:val="20"/>
                <w:szCs w:val="20"/>
                <w:color w:val="auto"/>
              </w:rPr>
            </w:pPr>
            <w:r>
              <w:rPr>
                <w:rFonts w:ascii="Arial" w:cs="Arial" w:eastAsia="Arial" w:hAnsi="Arial"/>
                <w:sz w:val="13"/>
                <w:szCs w:val="13"/>
                <w:b w:val="1"/>
                <w:bCs w:val="1"/>
                <w:color w:val="auto"/>
              </w:rPr>
              <w:t>Plus, prior service cost for plan amendment or new plan</w:t>
            </w:r>
          </w:p>
        </w:tc>
        <w:tc>
          <w:tcPr>
            <w:tcW w:w="320" w:type="dxa"/>
            <w:vAlign w:val="bottom"/>
            <w:tcBorders>
              <w:bottom w:val="single" w:sz="8" w:color="002F4D"/>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002F4D"/>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002F4D"/>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002F4D"/>
            </w:tcBorders>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480" w:type="dxa"/>
            <w:vAlign w:val="bottom"/>
            <w:tcBorders>
              <w:bottom w:val="single" w:sz="8" w:color="002F4D"/>
            </w:tcBorders>
          </w:tcPr>
          <w:p>
            <w:pPr>
              <w:ind w:left="60"/>
              <w:spacing w:after="0"/>
              <w:rPr>
                <w:sz w:val="20"/>
                <w:szCs w:val="20"/>
                <w:color w:val="auto"/>
              </w:rPr>
            </w:pPr>
            <w:r>
              <w:rPr>
                <w:rFonts w:ascii="Arial" w:cs="Arial" w:eastAsia="Arial" w:hAnsi="Arial"/>
                <w:sz w:val="13"/>
                <w:szCs w:val="13"/>
                <w:b w:val="1"/>
                <w:bCs w:val="1"/>
                <w:color w:val="auto"/>
              </w:rPr>
              <w:t>Less, value of Stock Awards and Option Awards reported in SCT</w:t>
            </w:r>
          </w:p>
        </w:tc>
        <w:tc>
          <w:tcPr>
            <w:tcW w:w="320" w:type="dxa"/>
            <w:vAlign w:val="bottom"/>
            <w:tcBorders>
              <w:bottom w:val="single" w:sz="8" w:color="002F4D"/>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002F4D"/>
            </w:tcBorders>
          </w:tcPr>
          <w:p>
            <w:pPr>
              <w:jc w:val="right"/>
              <w:spacing w:after="0"/>
              <w:rPr>
                <w:sz w:val="20"/>
                <w:szCs w:val="20"/>
                <w:color w:val="auto"/>
              </w:rPr>
            </w:pPr>
            <w:r>
              <w:rPr>
                <w:rFonts w:ascii="Arial" w:cs="Arial" w:eastAsia="Arial" w:hAnsi="Arial"/>
                <w:sz w:val="13"/>
                <w:szCs w:val="13"/>
                <w:color w:val="auto"/>
              </w:rPr>
              <w:t>7,220,604</w:t>
            </w:r>
          </w:p>
        </w:tc>
        <w:tc>
          <w:tcPr>
            <w:tcW w:w="540" w:type="dxa"/>
            <w:vAlign w:val="bottom"/>
            <w:tcBorders>
              <w:bottom w:val="single" w:sz="8" w:color="002F4D"/>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002F4D"/>
            </w:tcBorders>
          </w:tcPr>
          <w:p>
            <w:pPr>
              <w:jc w:val="right"/>
              <w:ind w:right="33"/>
              <w:spacing w:after="0"/>
              <w:rPr>
                <w:sz w:val="20"/>
                <w:szCs w:val="20"/>
                <w:color w:val="auto"/>
              </w:rPr>
            </w:pPr>
            <w:r>
              <w:rPr>
                <w:rFonts w:ascii="Arial" w:cs="Arial" w:eastAsia="Arial" w:hAnsi="Arial"/>
                <w:sz w:val="13"/>
                <w:szCs w:val="13"/>
                <w:color w:val="auto"/>
              </w:rPr>
              <w:t>2,423,779</w:t>
            </w:r>
          </w:p>
        </w:tc>
        <w:tc>
          <w:tcPr>
            <w:tcW w:w="0" w:type="dxa"/>
            <w:vAlign w:val="bottom"/>
          </w:tcPr>
          <w:p>
            <w:pPr>
              <w:spacing w:after="0"/>
              <w:rPr>
                <w:sz w:val="1"/>
                <w:szCs w:val="1"/>
                <w:color w:val="auto"/>
              </w:rPr>
            </w:pPr>
          </w:p>
        </w:tc>
      </w:tr>
      <w:tr>
        <w:trPr>
          <w:trHeight w:val="144"/>
        </w:trPr>
        <w:tc>
          <w:tcPr>
            <w:tcW w:w="8480" w:type="dxa"/>
            <w:vAlign w:val="bottom"/>
            <w:tcBorders>
              <w:bottom w:val="single" w:sz="8" w:color="002F4D"/>
            </w:tcBorders>
          </w:tcPr>
          <w:p>
            <w:pPr>
              <w:ind w:left="60"/>
              <w:spacing w:after="0" w:line="144" w:lineRule="exact"/>
              <w:rPr>
                <w:sz w:val="20"/>
                <w:szCs w:val="20"/>
                <w:color w:val="auto"/>
              </w:rPr>
            </w:pPr>
            <w:r>
              <w:rPr>
                <w:rFonts w:ascii="Arial" w:cs="Arial" w:eastAsia="Arial" w:hAnsi="Arial"/>
                <w:sz w:val="13"/>
                <w:szCs w:val="13"/>
                <w:b w:val="1"/>
                <w:bCs w:val="1"/>
                <w:color w:val="auto"/>
              </w:rPr>
              <w:t>Plus, year-end fair value of Stock Awards and Option Awards granted during year that are outstanding and unvested at year-end</w:t>
            </w:r>
          </w:p>
        </w:tc>
        <w:tc>
          <w:tcPr>
            <w:tcW w:w="320" w:type="dxa"/>
            <w:vAlign w:val="bottom"/>
            <w:tcBorders>
              <w:bottom w:val="single" w:sz="8" w:color="002F4D"/>
            </w:tcBorders>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002F4D"/>
            </w:tcBorders>
          </w:tcPr>
          <w:p>
            <w:pPr>
              <w:jc w:val="right"/>
              <w:spacing w:after="0" w:line="144" w:lineRule="exact"/>
              <w:rPr>
                <w:sz w:val="20"/>
                <w:szCs w:val="20"/>
                <w:color w:val="auto"/>
              </w:rPr>
            </w:pPr>
            <w:r>
              <w:rPr>
                <w:rFonts w:ascii="Arial" w:cs="Arial" w:eastAsia="Arial" w:hAnsi="Arial"/>
                <w:sz w:val="13"/>
                <w:szCs w:val="13"/>
                <w:color w:val="auto"/>
              </w:rPr>
              <w:t>6,959,703</w:t>
            </w:r>
          </w:p>
        </w:tc>
        <w:tc>
          <w:tcPr>
            <w:tcW w:w="540" w:type="dxa"/>
            <w:vAlign w:val="bottom"/>
            <w:tcBorders>
              <w:bottom w:val="single" w:sz="8" w:color="002F4D"/>
            </w:tcBorders>
          </w:tcPr>
          <w:p>
            <w:pPr>
              <w:jc w:val="right"/>
              <w:spacing w:after="0" w:line="144"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002F4D"/>
            </w:tcBorders>
          </w:tcPr>
          <w:p>
            <w:pPr>
              <w:jc w:val="right"/>
              <w:ind w:right="33"/>
              <w:spacing w:after="0" w:line="144" w:lineRule="exact"/>
              <w:rPr>
                <w:sz w:val="20"/>
                <w:szCs w:val="20"/>
                <w:color w:val="auto"/>
              </w:rPr>
            </w:pPr>
            <w:r>
              <w:rPr>
                <w:rFonts w:ascii="Arial" w:cs="Arial" w:eastAsia="Arial" w:hAnsi="Arial"/>
                <w:sz w:val="13"/>
                <w:szCs w:val="13"/>
                <w:color w:val="auto"/>
              </w:rPr>
              <w:t>2,335,960</w:t>
            </w:r>
          </w:p>
        </w:tc>
        <w:tc>
          <w:tcPr>
            <w:tcW w:w="0" w:type="dxa"/>
            <w:vAlign w:val="bottom"/>
          </w:tcPr>
          <w:p>
            <w:pPr>
              <w:spacing w:after="0"/>
              <w:rPr>
                <w:sz w:val="1"/>
                <w:szCs w:val="1"/>
                <w:color w:val="auto"/>
              </w:rPr>
            </w:pPr>
          </w:p>
        </w:tc>
      </w:tr>
      <w:tr>
        <w:trPr>
          <w:trHeight w:val="135"/>
        </w:trPr>
        <w:tc>
          <w:tcPr>
            <w:tcW w:w="8480" w:type="dxa"/>
            <w:vAlign w:val="bottom"/>
          </w:tcPr>
          <w:p>
            <w:pPr>
              <w:ind w:left="60"/>
              <w:spacing w:after="0" w:line="134" w:lineRule="exact"/>
              <w:rPr>
                <w:sz w:val="20"/>
                <w:szCs w:val="20"/>
                <w:color w:val="auto"/>
              </w:rPr>
            </w:pPr>
            <w:r>
              <w:rPr>
                <w:rFonts w:ascii="Arial" w:cs="Arial" w:eastAsia="Arial" w:hAnsi="Arial"/>
                <w:sz w:val="13"/>
                <w:szCs w:val="13"/>
                <w:b w:val="1"/>
                <w:bCs w:val="1"/>
                <w:color w:val="auto"/>
              </w:rPr>
              <w:t>Plus, change in year-end fair value of Stock Awards and Option Awards granted in any prior year that are outstanding and</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480" w:type="dxa"/>
            <w:vAlign w:val="bottom"/>
            <w:tcBorders>
              <w:bottom w:val="single" w:sz="8" w:color="002F4D"/>
            </w:tcBorders>
          </w:tcPr>
          <w:p>
            <w:pPr>
              <w:ind w:left="60"/>
              <w:spacing w:after="0"/>
              <w:rPr>
                <w:sz w:val="20"/>
                <w:szCs w:val="20"/>
                <w:color w:val="auto"/>
              </w:rPr>
            </w:pPr>
            <w:r>
              <w:rPr>
                <w:rFonts w:ascii="Arial" w:cs="Arial" w:eastAsia="Arial" w:hAnsi="Arial"/>
                <w:sz w:val="13"/>
                <w:szCs w:val="13"/>
                <w:b w:val="1"/>
                <w:bCs w:val="1"/>
                <w:color w:val="auto"/>
              </w:rPr>
              <w:t>unvested at year-end</w:t>
            </w:r>
          </w:p>
        </w:tc>
        <w:tc>
          <w:tcPr>
            <w:tcW w:w="320" w:type="dxa"/>
            <w:vAlign w:val="bottom"/>
            <w:tcBorders>
              <w:bottom w:val="single" w:sz="8" w:color="002F4D"/>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002F4D"/>
            </w:tcBorders>
          </w:tcPr>
          <w:p>
            <w:pPr>
              <w:jc w:val="right"/>
              <w:spacing w:after="0"/>
              <w:rPr>
                <w:sz w:val="20"/>
                <w:szCs w:val="20"/>
                <w:color w:val="auto"/>
              </w:rPr>
            </w:pPr>
            <w:r>
              <w:rPr>
                <w:rFonts w:ascii="Arial" w:cs="Arial" w:eastAsia="Arial" w:hAnsi="Arial"/>
                <w:sz w:val="13"/>
                <w:szCs w:val="13"/>
                <w:color w:val="auto"/>
              </w:rPr>
              <w:t>2,275,206</w:t>
            </w:r>
          </w:p>
        </w:tc>
        <w:tc>
          <w:tcPr>
            <w:tcW w:w="540" w:type="dxa"/>
            <w:vAlign w:val="bottom"/>
            <w:tcBorders>
              <w:bottom w:val="single" w:sz="8" w:color="002F4D"/>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002F4D"/>
            </w:tcBorders>
          </w:tcPr>
          <w:p>
            <w:pPr>
              <w:jc w:val="right"/>
              <w:ind w:right="33"/>
              <w:spacing w:after="0"/>
              <w:rPr>
                <w:sz w:val="20"/>
                <w:szCs w:val="20"/>
                <w:color w:val="auto"/>
              </w:rPr>
            </w:pPr>
            <w:r>
              <w:rPr>
                <w:rFonts w:ascii="Arial" w:cs="Arial" w:eastAsia="Arial" w:hAnsi="Arial"/>
                <w:sz w:val="13"/>
                <w:szCs w:val="13"/>
                <w:color w:val="auto"/>
              </w:rPr>
              <w:t>737,569</w:t>
            </w:r>
          </w:p>
        </w:tc>
        <w:tc>
          <w:tcPr>
            <w:tcW w:w="0" w:type="dxa"/>
            <w:vAlign w:val="bottom"/>
          </w:tcPr>
          <w:p>
            <w:pPr>
              <w:spacing w:after="0"/>
              <w:rPr>
                <w:sz w:val="1"/>
                <w:szCs w:val="1"/>
                <w:color w:val="auto"/>
              </w:rPr>
            </w:pPr>
          </w:p>
        </w:tc>
      </w:tr>
      <w:tr>
        <w:trPr>
          <w:trHeight w:val="135"/>
        </w:trPr>
        <w:tc>
          <w:tcPr>
            <w:tcW w:w="8480" w:type="dxa"/>
            <w:vAlign w:val="bottom"/>
          </w:tcPr>
          <w:p>
            <w:pPr>
              <w:ind w:left="60"/>
              <w:spacing w:after="0" w:line="134" w:lineRule="exact"/>
              <w:rPr>
                <w:sz w:val="20"/>
                <w:szCs w:val="20"/>
                <w:color w:val="auto"/>
              </w:rPr>
            </w:pPr>
            <w:r>
              <w:rPr>
                <w:rFonts w:ascii="Arial" w:cs="Arial" w:eastAsia="Arial" w:hAnsi="Arial"/>
                <w:sz w:val="13"/>
                <w:szCs w:val="13"/>
                <w:b w:val="1"/>
                <w:bCs w:val="1"/>
                <w:color w:val="auto"/>
              </w:rPr>
              <w:t>Plus, change in year-end fair value as of vesting date of any Stock Awards and Option Awards granted in any prior year that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480" w:type="dxa"/>
            <w:vAlign w:val="bottom"/>
            <w:tcBorders>
              <w:bottom w:val="single" w:sz="8" w:color="002F4D"/>
            </w:tcBorders>
          </w:tcPr>
          <w:p>
            <w:pPr>
              <w:ind w:left="60"/>
              <w:spacing w:after="0"/>
              <w:rPr>
                <w:sz w:val="20"/>
                <w:szCs w:val="20"/>
                <w:color w:val="auto"/>
              </w:rPr>
            </w:pPr>
            <w:r>
              <w:rPr>
                <w:rFonts w:ascii="Arial" w:cs="Arial" w:eastAsia="Arial" w:hAnsi="Arial"/>
                <w:sz w:val="13"/>
                <w:szCs w:val="13"/>
                <w:b w:val="1"/>
                <w:bCs w:val="1"/>
                <w:color w:val="auto"/>
              </w:rPr>
              <w:t>vested during covered year</w:t>
            </w:r>
          </w:p>
        </w:tc>
        <w:tc>
          <w:tcPr>
            <w:tcW w:w="320" w:type="dxa"/>
            <w:vAlign w:val="bottom"/>
            <w:tcBorders>
              <w:bottom w:val="single" w:sz="8" w:color="002F4D"/>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002F4D"/>
            </w:tcBorders>
          </w:tcPr>
          <w:p>
            <w:pPr>
              <w:jc w:val="right"/>
              <w:spacing w:after="0"/>
              <w:rPr>
                <w:sz w:val="20"/>
                <w:szCs w:val="20"/>
                <w:color w:val="auto"/>
              </w:rPr>
            </w:pPr>
            <w:r>
              <w:rPr>
                <w:rFonts w:ascii="Arial" w:cs="Arial" w:eastAsia="Arial" w:hAnsi="Arial"/>
                <w:sz w:val="13"/>
                <w:szCs w:val="13"/>
                <w:color w:val="auto"/>
              </w:rPr>
              <w:t>733,392</w:t>
            </w:r>
          </w:p>
        </w:tc>
        <w:tc>
          <w:tcPr>
            <w:tcW w:w="540" w:type="dxa"/>
            <w:vAlign w:val="bottom"/>
            <w:tcBorders>
              <w:bottom w:val="single" w:sz="8" w:color="002F4D"/>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002F4D"/>
            </w:tcBorders>
          </w:tcPr>
          <w:p>
            <w:pPr>
              <w:jc w:val="right"/>
              <w:ind w:right="33"/>
              <w:spacing w:after="0"/>
              <w:rPr>
                <w:sz w:val="20"/>
                <w:szCs w:val="20"/>
                <w:color w:val="auto"/>
              </w:rPr>
            </w:pPr>
            <w:r>
              <w:rPr>
                <w:rFonts w:ascii="Arial" w:cs="Arial" w:eastAsia="Arial" w:hAnsi="Arial"/>
                <w:sz w:val="13"/>
                <w:szCs w:val="13"/>
                <w:color w:val="auto"/>
              </w:rPr>
              <w:t>218,079</w:t>
            </w:r>
          </w:p>
        </w:tc>
        <w:tc>
          <w:tcPr>
            <w:tcW w:w="0" w:type="dxa"/>
            <w:vAlign w:val="bottom"/>
          </w:tcPr>
          <w:p>
            <w:pPr>
              <w:spacing w:after="0"/>
              <w:rPr>
                <w:sz w:val="1"/>
                <w:szCs w:val="1"/>
                <w:color w:val="auto"/>
              </w:rPr>
            </w:pPr>
          </w:p>
        </w:tc>
      </w:tr>
      <w:tr>
        <w:trPr>
          <w:trHeight w:val="135"/>
        </w:trPr>
        <w:tc>
          <w:tcPr>
            <w:tcW w:w="8480" w:type="dxa"/>
            <w:vAlign w:val="bottom"/>
          </w:tcPr>
          <w:p>
            <w:pPr>
              <w:ind w:left="60"/>
              <w:spacing w:after="0" w:line="134" w:lineRule="exact"/>
              <w:rPr>
                <w:sz w:val="20"/>
                <w:szCs w:val="20"/>
                <w:color w:val="auto"/>
              </w:rPr>
            </w:pPr>
            <w:r>
              <w:rPr>
                <w:rFonts w:ascii="Arial" w:cs="Arial" w:eastAsia="Arial" w:hAnsi="Arial"/>
                <w:sz w:val="13"/>
                <w:szCs w:val="13"/>
                <w:b w:val="1"/>
                <w:bCs w:val="1"/>
                <w:color w:val="auto"/>
              </w:rPr>
              <w:t>Less, fair value at end of prior year of Stock Awards and Option Awards that failed to meet applicable vesting conditions during</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480" w:type="dxa"/>
            <w:vAlign w:val="bottom"/>
            <w:tcBorders>
              <w:bottom w:val="single" w:sz="8" w:color="002F4D"/>
            </w:tcBorders>
          </w:tcPr>
          <w:p>
            <w:pPr>
              <w:ind w:left="60"/>
              <w:spacing w:after="0"/>
              <w:rPr>
                <w:sz w:val="20"/>
                <w:szCs w:val="20"/>
                <w:color w:val="auto"/>
              </w:rPr>
            </w:pPr>
            <w:r>
              <w:rPr>
                <w:rFonts w:ascii="Arial" w:cs="Arial" w:eastAsia="Arial" w:hAnsi="Arial"/>
                <w:sz w:val="13"/>
                <w:szCs w:val="13"/>
                <w:b w:val="1"/>
                <w:bCs w:val="1"/>
                <w:color w:val="auto"/>
              </w:rPr>
              <w:t>year</w:t>
            </w:r>
          </w:p>
        </w:tc>
        <w:tc>
          <w:tcPr>
            <w:tcW w:w="320" w:type="dxa"/>
            <w:vAlign w:val="bottom"/>
            <w:tcBorders>
              <w:bottom w:val="single" w:sz="8" w:color="002F4D"/>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002F4D"/>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002F4D"/>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002F4D"/>
            </w:tcBorders>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8480" w:type="dxa"/>
            <w:vAlign w:val="bottom"/>
          </w:tcPr>
          <w:p>
            <w:pPr>
              <w:ind w:left="60"/>
              <w:spacing w:after="0" w:line="134" w:lineRule="exact"/>
              <w:rPr>
                <w:sz w:val="20"/>
                <w:szCs w:val="20"/>
                <w:color w:val="auto"/>
              </w:rPr>
            </w:pPr>
            <w:r>
              <w:rPr>
                <w:rFonts w:ascii="Arial" w:cs="Arial" w:eastAsia="Arial" w:hAnsi="Arial"/>
                <w:sz w:val="13"/>
                <w:szCs w:val="13"/>
                <w:b w:val="1"/>
                <w:bCs w:val="1"/>
                <w:color w:val="auto"/>
              </w:rPr>
              <w:t>Plus, dividends or other earnings paid on Stock Awards and Option Awards during year prior to vesting if not otherwise included</w:t>
            </w: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8480" w:type="dxa"/>
            <w:vAlign w:val="bottom"/>
            <w:tcBorders>
              <w:bottom w:val="single" w:sz="8" w:color="002F4D"/>
            </w:tcBorders>
          </w:tcPr>
          <w:p>
            <w:pPr>
              <w:ind w:left="60"/>
              <w:spacing w:after="0"/>
              <w:rPr>
                <w:sz w:val="20"/>
                <w:szCs w:val="20"/>
                <w:color w:val="auto"/>
              </w:rPr>
            </w:pPr>
            <w:r>
              <w:rPr>
                <w:rFonts w:ascii="Arial" w:cs="Arial" w:eastAsia="Arial" w:hAnsi="Arial"/>
                <w:sz w:val="13"/>
                <w:szCs w:val="13"/>
                <w:b w:val="1"/>
                <w:bCs w:val="1"/>
                <w:color w:val="auto"/>
              </w:rPr>
              <w:t>in total compensation for year</w:t>
            </w:r>
          </w:p>
        </w:tc>
        <w:tc>
          <w:tcPr>
            <w:tcW w:w="320" w:type="dxa"/>
            <w:vAlign w:val="bottom"/>
            <w:tcBorders>
              <w:bottom w:val="single" w:sz="8" w:color="002F4D"/>
            </w:tcBorders>
            <w:gridSpan w:val="2"/>
            <w:vMerge w:val="continue"/>
          </w:tcPr>
          <w:p>
            <w:pPr>
              <w:spacing w:after="0"/>
              <w:rPr>
                <w:sz w:val="14"/>
                <w:szCs w:val="14"/>
                <w:color w:val="auto"/>
              </w:rPr>
            </w:pPr>
          </w:p>
        </w:tc>
        <w:tc>
          <w:tcPr>
            <w:tcW w:w="760" w:type="dxa"/>
            <w:vAlign w:val="bottom"/>
            <w:tcBorders>
              <w:bottom w:val="single" w:sz="8" w:color="002F4D"/>
            </w:tcBorders>
            <w:vMerge w:val="continue"/>
          </w:tcPr>
          <w:p>
            <w:pPr>
              <w:spacing w:after="0"/>
              <w:rPr>
                <w:sz w:val="14"/>
                <w:szCs w:val="14"/>
                <w:color w:val="auto"/>
              </w:rPr>
            </w:pPr>
          </w:p>
        </w:tc>
        <w:tc>
          <w:tcPr>
            <w:tcW w:w="540" w:type="dxa"/>
            <w:vAlign w:val="bottom"/>
            <w:tcBorders>
              <w:bottom w:val="single" w:sz="8" w:color="002F4D"/>
            </w:tcBorders>
            <w:vMerge w:val="continue"/>
          </w:tcPr>
          <w:p>
            <w:pPr>
              <w:spacing w:after="0"/>
              <w:rPr>
                <w:sz w:val="14"/>
                <w:szCs w:val="14"/>
                <w:color w:val="auto"/>
              </w:rPr>
            </w:pPr>
          </w:p>
        </w:tc>
        <w:tc>
          <w:tcPr>
            <w:tcW w:w="840" w:type="dxa"/>
            <w:vAlign w:val="bottom"/>
            <w:tcBorders>
              <w:bottom w:val="single" w:sz="8" w:color="002F4D"/>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tcBorders>
              <w:bottom w:val="single" w:sz="8" w:color="002F4D"/>
            </w:tcBorders>
          </w:tcPr>
          <w:p>
            <w:pPr>
              <w:ind w:left="60"/>
              <w:spacing w:after="0"/>
              <w:rPr>
                <w:sz w:val="20"/>
                <w:szCs w:val="20"/>
                <w:color w:val="auto"/>
              </w:rPr>
            </w:pPr>
            <w:r>
              <w:rPr>
                <w:rFonts w:ascii="Arial" w:cs="Arial" w:eastAsia="Arial" w:hAnsi="Arial"/>
                <w:sz w:val="13"/>
                <w:szCs w:val="13"/>
                <w:b w:val="1"/>
                <w:bCs w:val="1"/>
                <w:color w:val="auto"/>
              </w:rPr>
              <w:t>Compensation Actually Paid</w:t>
            </w:r>
          </w:p>
        </w:tc>
        <w:tc>
          <w:tcPr>
            <w:tcW w:w="320" w:type="dxa"/>
            <w:vAlign w:val="bottom"/>
            <w:tcBorders>
              <w:bottom w:val="single" w:sz="8" w:color="002F4D"/>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002F4D"/>
            </w:tcBorders>
          </w:tcPr>
          <w:p>
            <w:pPr>
              <w:jc w:val="right"/>
              <w:spacing w:after="0"/>
              <w:rPr>
                <w:sz w:val="20"/>
                <w:szCs w:val="20"/>
                <w:color w:val="auto"/>
              </w:rPr>
            </w:pPr>
            <w:r>
              <w:rPr>
                <w:rFonts w:ascii="Arial" w:cs="Arial" w:eastAsia="Arial" w:hAnsi="Arial"/>
                <w:sz w:val="13"/>
                <w:szCs w:val="13"/>
                <w:color w:val="auto"/>
              </w:rPr>
              <w:t>10,955,546</w:t>
            </w:r>
          </w:p>
        </w:tc>
        <w:tc>
          <w:tcPr>
            <w:tcW w:w="540" w:type="dxa"/>
            <w:vAlign w:val="bottom"/>
            <w:tcBorders>
              <w:bottom w:val="single" w:sz="8" w:color="002F4D"/>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002F4D"/>
            </w:tcBorders>
          </w:tcPr>
          <w:p>
            <w:pPr>
              <w:jc w:val="right"/>
              <w:ind w:right="33"/>
              <w:spacing w:after="0"/>
              <w:rPr>
                <w:sz w:val="20"/>
                <w:szCs w:val="20"/>
                <w:color w:val="auto"/>
              </w:rPr>
            </w:pPr>
            <w:r>
              <w:rPr>
                <w:rFonts w:ascii="Arial" w:cs="Arial" w:eastAsia="Arial" w:hAnsi="Arial"/>
                <w:sz w:val="13"/>
                <w:szCs w:val="13"/>
                <w:color w:val="auto"/>
              </w:rPr>
              <w:t>3,860,860</w:t>
            </w:r>
          </w:p>
        </w:tc>
        <w:tc>
          <w:tcPr>
            <w:tcW w:w="0" w:type="dxa"/>
            <w:vAlign w:val="bottom"/>
          </w:tcPr>
          <w:p>
            <w:pPr>
              <w:spacing w:after="0"/>
              <w:rPr>
                <w:sz w:val="1"/>
                <w:szCs w:val="1"/>
                <w:color w:val="auto"/>
              </w:rPr>
            </w:pPr>
          </w:p>
        </w:tc>
      </w:tr>
    </w:tbl>
    <w:p>
      <w:pPr>
        <w:spacing w:after="0" w:line="43" w:lineRule="exact"/>
        <w:rPr>
          <w:sz w:val="20"/>
          <w:szCs w:val="20"/>
          <w:color w:val="auto"/>
        </w:rPr>
      </w:pPr>
    </w:p>
    <w:p>
      <w:pPr>
        <w:jc w:val="both"/>
        <w:ind w:left="300" w:right="100" w:hanging="299"/>
        <w:spacing w:after="0" w:line="248" w:lineRule="auto"/>
        <w:tabs>
          <w:tab w:leader="none" w:pos="3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peer group used in this Pay Versus Performance table is the Peer Group the Compensation Committee confirmed was appropriate as a reference for 2025 pay determinations, as further described in the Compensation Discussion &amp; Analysis. The peer group used in this Pay Versus Performance table changed as compared with the peer group used last year in the Pay Versus Performance table. A detailed list of the peer group used in this Pay Versus Performance table is set forth in “Compensation Discussion and Analysis – Parties Involved in Compensation Decisions” on page 35. The peer group consists of AMETEK, Inc., Carlisle Companies Incorporated, Crane Co., Dover Corporation, Flowserve Corporation, Fortune Brands Innovations, Graco Inc. Helen of Troy Limited, Hubbell Incorporated, IDEX Corporation, Ingersoll Rand Inc., ITT Inc., John Bean Technologies Corporation, Lincoln Electric Holdings, Inc., Nordson Corporation, Owens Corning, Pentair plc, Regal Rexnord Corporation, Resideo Technologies, Rockwell Automation, Inc., Snap-on Incorporated, The Timken Company, Woodward, Inc. and Xylem Inc. The peer group used in this Pay Versus Performance table added Fortune Brands Innovations, Owens Corning and Resideo Technologies, as compared to the peer group used in the peer group used last year in the Pay Versus Performance table. The peer group TSR would have been $126.89, $102.22, $126.99, $156.59 and $182.25 for each of 2021, 2022, 2023, 2024, and 2025 respectively, had the 2024 CD&amp;A peer group remained the same for 2025.</w:t>
      </w:r>
    </w:p>
    <w:p>
      <w:pPr>
        <w:spacing w:after="0" w:line="23" w:lineRule="exact"/>
        <w:rPr>
          <w:rFonts w:ascii="Arial" w:cs="Arial" w:eastAsia="Arial" w:hAnsi="Arial"/>
          <w:sz w:val="13"/>
          <w:szCs w:val="13"/>
          <w:color w:val="auto"/>
        </w:rPr>
      </w:pPr>
    </w:p>
    <w:p>
      <w:pPr>
        <w:jc w:val="both"/>
        <w:ind w:left="300" w:right="100" w:hanging="299"/>
        <w:spacing w:after="0" w:line="264" w:lineRule="auto"/>
        <w:tabs>
          <w:tab w:leader="none" w:pos="3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Pursuant to Item 402(v) of Regulation S-K, we determined Adjusted EPS to be the most important financial performance measure used to link company performance to CAP to our CEO and other NEOs in 2022, 2023, 2024 and 2025. We may determine a different financial performance measure to be the most important such measure in future years. Adjusted EBITDA is included as a supplemental measure. See Annex A for a discussion of these non-GAAP measures.</w:t>
      </w:r>
    </w:p>
    <w:p>
      <w:pPr>
        <w:spacing w:after="0" w:line="11" w:lineRule="exact"/>
        <w:rPr>
          <w:rFonts w:ascii="Arial" w:cs="Arial" w:eastAsia="Arial" w:hAnsi="Arial"/>
          <w:sz w:val="13"/>
          <w:szCs w:val="13"/>
          <w:color w:val="auto"/>
        </w:rPr>
      </w:pPr>
    </w:p>
    <w:p>
      <w:pPr>
        <w:jc w:val="both"/>
        <w:ind w:left="300" w:right="100" w:hanging="299"/>
        <w:spacing w:after="0" w:line="264" w:lineRule="auto"/>
        <w:tabs>
          <w:tab w:leader="none" w:pos="3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Mr. Timothy J. FitzGerald is the only CEO reflected in the Pay Versus Performance Table. For fiscal years 2025, 2024 and 2023, Messrs. Mittelman, Pool, Spittle and Fuchsen are the other NEOs reflected in the Pay Versus Performance Table. For fiscal years 2022 and 2021, Messrs. Mittelman, Martin M. Lindsay, Pool, and Spittle are the other NEOs reflected in the Pay Versus Performance Table.</w:t>
      </w:r>
    </w:p>
    <w:p>
      <w:pPr>
        <w:spacing w:after="0" w:line="11" w:lineRule="exact"/>
        <w:rPr>
          <w:rFonts w:ascii="Arial" w:cs="Arial" w:eastAsia="Arial" w:hAnsi="Arial"/>
          <w:sz w:val="13"/>
          <w:szCs w:val="13"/>
          <w:color w:val="auto"/>
        </w:rPr>
      </w:pPr>
    </w:p>
    <w:p>
      <w:pPr>
        <w:ind w:left="300" w:right="100" w:hanging="299"/>
        <w:spacing w:after="0" w:line="285" w:lineRule="auto"/>
        <w:tabs>
          <w:tab w:leader="none" w:pos="3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 February 2026, we completed the divestiture of a majority interest in our residential kitchen business segment. For 2025, the historical results of this divested business were accounted for as discontinued operations, and accordingly are not reflected in this figure.</w:t>
      </w:r>
    </w:p>
    <w:p>
      <w:pPr>
        <w:spacing w:after="0" w:line="120" w:lineRule="exact"/>
        <w:rPr>
          <w:sz w:val="20"/>
          <w:szCs w:val="20"/>
          <w:color w:val="auto"/>
        </w:rPr>
      </w:pPr>
    </w:p>
    <w:p>
      <w:pPr>
        <w:jc w:val="center"/>
        <w:ind w:left="8940"/>
        <w:spacing w:after="0"/>
        <w:tabs>
          <w:tab w:leader="none" w:pos="26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340"/>
          </w:cols>
          <w:pgMar w:left="320" w:top="231" w:right="239" w:bottom="1440" w:gutter="0" w:footer="0" w:header="0"/>
        </w:sectPr>
      </w:pPr>
    </w:p>
    <w:bookmarkStart w:id="52" w:name="page53"/>
    <w:bookmarkEnd w:id="52"/>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00304D"/>
        </w:rPr>
        <w:t>Relationship Between Compensation Actually Paid and Performance Measures</w:t>
      </w:r>
    </w:p>
    <w:p>
      <w:pPr>
        <w:spacing w:after="0" w:line="238"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charts below provide a graphic description of the relationships between (x) CAP to our CEO and CAP to our Non-CEO NEOs and (y) (i) our total shareholder return and our peer group’s total stockholder return; (ii) our net income; (iii) our Adjusted EBITDA (EBITDA$) and (iv) our Adjusted EPS.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Total Stockholder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850265</wp:posOffset>
            </wp:positionH>
            <wp:positionV relativeFrom="paragraph">
              <wp:posOffset>118745</wp:posOffset>
            </wp:positionV>
            <wp:extent cx="5450205" cy="21558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450205" cy="2155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118745</wp:posOffset>
            </wp:positionV>
            <wp:extent cx="5682615" cy="21723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682615" cy="2172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53" w:name="page54"/>
    <w:bookmarkEnd w:id="53"/>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Compensation Actually Paid Versus Adjusted EBITDA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118745</wp:posOffset>
            </wp:positionV>
            <wp:extent cx="5706745" cy="21240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706745" cy="2124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Compensation Actually Paid Versus Adjusted EPS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(Company Selected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108585</wp:posOffset>
            </wp:positionV>
            <wp:extent cx="5570220" cy="21158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570220" cy="211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00304D"/>
        </w:rPr>
        <w:t>Most Important Financial Measures</w:t>
      </w:r>
    </w:p>
    <w:p>
      <w:pPr>
        <w:spacing w:after="0" w:line="238"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table below contains an unranked list of the most important financial performance measures used to link compensation actually paid to the NEOs to Company performance. Measures that were used to link executive compensation to Company performance are further described in the Compensation Discussion &amp; Analysis.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Most Important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4121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11"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714121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5"/>
          <w:szCs w:val="15"/>
          <w:b w:val="1"/>
          <w:bCs w:val="1"/>
          <w:color w:val="auto"/>
        </w:rPr>
        <w:t>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714121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5"/>
          <w:szCs w:val="15"/>
          <w:b w:val="1"/>
          <w:bCs w:val="1"/>
          <w:color w:val="auto"/>
        </w:rPr>
        <w:t>Adjusted EPS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714121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5"/>
          <w:szCs w:val="15"/>
          <w:b w:val="1"/>
          <w:bCs w:val="1"/>
          <w:color w:val="auto"/>
        </w:rPr>
        <w:t>Return on Invested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7141210" cy="158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17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1041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41350" cy="10414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54" w:name="page55"/>
    <w:bookmarkEnd w:id="54"/>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0" w:lineRule="exact"/>
        <w:rPr>
          <w:sz w:val="20"/>
          <w:szCs w:val="20"/>
          <w:color w:val="auto"/>
        </w:rPr>
      </w:pPr>
    </w:p>
    <w:p>
      <w:pPr>
        <w:spacing w:after="0"/>
        <w:rPr>
          <w:sz w:val="20"/>
          <w:szCs w:val="20"/>
          <w:color w:val="auto"/>
        </w:rPr>
      </w:pPr>
      <w:r>
        <w:rPr>
          <w:rFonts w:ascii="Arial" w:cs="Arial" w:eastAsia="Arial" w:hAnsi="Arial"/>
          <w:sz w:val="34"/>
          <w:szCs w:val="34"/>
          <w:b w:val="1"/>
          <w:bCs w:val="1"/>
          <w:color w:val="00304D"/>
        </w:rPr>
        <w:t>Security Ownership of Certain Beneficial Owners and Management</w:t>
      </w:r>
    </w:p>
    <w:p>
      <w:pPr>
        <w:spacing w:after="0" w:line="314"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following table sets forth certain information with respect to the beneficial ownership of shares of Middleby common stock as of March 20, 2026, by each person known by the Company to be the beneficial owner of more than five percent of our common stock, each director and each nominee for director, each Named Executive Officer for fiscal year 2025, and all current directors and executive officers as a group. Unless otherwise indicated below, the address for each person listed below is c/o The Middleby Corporation, 1400 Toastmaster Drive, Elgin, Illinois 60120.</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800" w:type="dxa"/>
            <w:vAlign w:val="bottom"/>
          </w:tcPr>
          <w:p>
            <w:pPr>
              <w:spacing w:after="0"/>
              <w:rPr>
                <w:sz w:val="15"/>
                <w:szCs w:val="15"/>
                <w:color w:val="auto"/>
              </w:rPr>
            </w:pPr>
          </w:p>
        </w:tc>
        <w:tc>
          <w:tcPr>
            <w:tcW w:w="3500" w:type="dxa"/>
            <w:vAlign w:val="bottom"/>
          </w:tcPr>
          <w:p>
            <w:pPr>
              <w:jc w:val="right"/>
              <w:ind w:right="344"/>
              <w:spacing w:after="0"/>
              <w:rPr>
                <w:sz w:val="20"/>
                <w:szCs w:val="20"/>
                <w:color w:val="auto"/>
              </w:rPr>
            </w:pPr>
            <w:r>
              <w:rPr>
                <w:rFonts w:ascii="Arial" w:cs="Arial" w:eastAsia="Arial" w:hAnsi="Arial"/>
                <w:sz w:val="15"/>
                <w:szCs w:val="15"/>
                <w:b w:val="1"/>
                <w:bCs w:val="1"/>
                <w:color w:val="00304D"/>
              </w:rPr>
              <w:t>Amount and</w:t>
            </w:r>
          </w:p>
        </w:tc>
        <w:tc>
          <w:tcPr>
            <w:tcW w:w="940" w:type="dxa"/>
            <w:vAlign w:val="bottom"/>
          </w:tcPr>
          <w:p>
            <w:pPr>
              <w:spacing w:after="0"/>
              <w:rPr>
                <w:sz w:val="15"/>
                <w:szCs w:val="15"/>
                <w:color w:val="auto"/>
              </w:rPr>
            </w:pPr>
          </w:p>
        </w:tc>
      </w:tr>
      <w:tr>
        <w:trPr>
          <w:trHeight w:val="177"/>
        </w:trPr>
        <w:tc>
          <w:tcPr>
            <w:tcW w:w="6800" w:type="dxa"/>
            <w:vAlign w:val="bottom"/>
          </w:tcPr>
          <w:p>
            <w:pPr>
              <w:spacing w:after="0"/>
              <w:rPr>
                <w:sz w:val="15"/>
                <w:szCs w:val="15"/>
                <w:color w:val="auto"/>
              </w:rPr>
            </w:pPr>
          </w:p>
        </w:tc>
        <w:tc>
          <w:tcPr>
            <w:tcW w:w="3500" w:type="dxa"/>
            <w:vAlign w:val="bottom"/>
          </w:tcPr>
          <w:p>
            <w:pPr>
              <w:jc w:val="right"/>
              <w:ind w:right="344"/>
              <w:spacing w:after="0"/>
              <w:rPr>
                <w:sz w:val="20"/>
                <w:szCs w:val="20"/>
                <w:color w:val="auto"/>
              </w:rPr>
            </w:pPr>
            <w:r>
              <w:rPr>
                <w:rFonts w:ascii="Arial" w:cs="Arial" w:eastAsia="Arial" w:hAnsi="Arial"/>
                <w:sz w:val="15"/>
                <w:szCs w:val="15"/>
                <w:b w:val="1"/>
                <w:bCs w:val="1"/>
                <w:color w:val="00304D"/>
              </w:rPr>
              <w:t>Nature of</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00304D"/>
              </w:rPr>
              <w:t>Percent</w:t>
            </w:r>
          </w:p>
        </w:tc>
      </w:tr>
      <w:tr>
        <w:trPr>
          <w:trHeight w:val="189"/>
        </w:trPr>
        <w:tc>
          <w:tcPr>
            <w:tcW w:w="680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00304D"/>
              </w:rPr>
              <w:t>Name of Beneficial Owner</w:t>
            </w:r>
          </w:p>
        </w:tc>
        <w:tc>
          <w:tcPr>
            <w:tcW w:w="3500" w:type="dxa"/>
            <w:vAlign w:val="bottom"/>
            <w:tcBorders>
              <w:bottom w:val="single" w:sz="8" w:color="002F4D"/>
            </w:tcBorders>
          </w:tcPr>
          <w:p>
            <w:pPr>
              <w:jc w:val="right"/>
              <w:ind w:right="344"/>
              <w:spacing w:after="0"/>
              <w:rPr>
                <w:sz w:val="20"/>
                <w:szCs w:val="20"/>
                <w:color w:val="auto"/>
              </w:rPr>
            </w:pPr>
            <w:r>
              <w:rPr>
                <w:rFonts w:ascii="Arial" w:cs="Arial" w:eastAsia="Arial" w:hAnsi="Arial"/>
                <w:sz w:val="15"/>
                <w:szCs w:val="15"/>
                <w:b w:val="1"/>
                <w:bCs w:val="1"/>
                <w:color w:val="00304D"/>
              </w:rPr>
              <w:t>Beneficial Ownership</w:t>
            </w:r>
          </w:p>
        </w:tc>
        <w:tc>
          <w:tcPr>
            <w:tcW w:w="940" w:type="dxa"/>
            <w:vAlign w:val="bottom"/>
            <w:tcBorders>
              <w:bottom w:val="single" w:sz="8" w:color="002F4D"/>
            </w:tcBorders>
          </w:tcPr>
          <w:p>
            <w:pPr>
              <w:jc w:val="right"/>
              <w:spacing w:after="0"/>
              <w:rPr>
                <w:sz w:val="20"/>
                <w:szCs w:val="20"/>
                <w:color w:val="auto"/>
              </w:rPr>
            </w:pPr>
            <w:r>
              <w:rPr>
                <w:rFonts w:ascii="Arial" w:cs="Arial" w:eastAsia="Arial" w:hAnsi="Arial"/>
                <w:sz w:val="15"/>
                <w:szCs w:val="15"/>
                <w:b w:val="1"/>
                <w:bCs w:val="1"/>
                <w:color w:val="00304D"/>
              </w:rPr>
              <w:t>Of Class</w:t>
            </w:r>
          </w:p>
        </w:tc>
      </w:tr>
      <w:tr>
        <w:trPr>
          <w:trHeight w:val="169"/>
        </w:trPr>
        <w:tc>
          <w:tcPr>
            <w:tcW w:w="680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b w:val="1"/>
                <w:bCs w:val="1"/>
                <w:color w:val="auto"/>
              </w:rPr>
              <w:t>Directors, Director Nominees, and Executive Officers:</w:t>
            </w:r>
          </w:p>
        </w:tc>
        <w:tc>
          <w:tcPr>
            <w:tcW w:w="3500" w:type="dxa"/>
            <w:vAlign w:val="bottom"/>
            <w:tcBorders>
              <w:bottom w:val="single" w:sz="8" w:color="002F4D"/>
            </w:tcBorders>
          </w:tcPr>
          <w:p>
            <w:pPr>
              <w:spacing w:after="0"/>
              <w:rPr>
                <w:sz w:val="14"/>
                <w:szCs w:val="14"/>
                <w:color w:val="auto"/>
              </w:rPr>
            </w:pPr>
          </w:p>
        </w:tc>
        <w:tc>
          <w:tcPr>
            <w:tcW w:w="940" w:type="dxa"/>
            <w:vAlign w:val="bottom"/>
            <w:tcBorders>
              <w:bottom w:val="single" w:sz="8" w:color="002F4D"/>
            </w:tcBorders>
          </w:tcPr>
          <w:p>
            <w:pPr>
              <w:spacing w:after="0"/>
              <w:rPr>
                <w:sz w:val="14"/>
                <w:szCs w:val="14"/>
                <w:color w:val="auto"/>
              </w:rPr>
            </w:pPr>
          </w:p>
        </w:tc>
      </w:tr>
      <w:tr>
        <w:trPr>
          <w:trHeight w:val="207"/>
        </w:trPr>
        <w:tc>
          <w:tcPr>
            <w:tcW w:w="680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Timothy J. FitzGerald</w:t>
            </w:r>
          </w:p>
        </w:tc>
        <w:tc>
          <w:tcPr>
            <w:tcW w:w="3500" w:type="dxa"/>
            <w:vAlign w:val="bottom"/>
            <w:tcBorders>
              <w:bottom w:val="single" w:sz="8" w:color="002F4D"/>
            </w:tcBorders>
          </w:tcPr>
          <w:p>
            <w:pPr>
              <w:jc w:val="right"/>
              <w:ind w:right="204"/>
              <w:spacing w:after="0" w:line="207" w:lineRule="exact"/>
              <w:rPr>
                <w:sz w:val="20"/>
                <w:szCs w:val="20"/>
                <w:color w:val="auto"/>
              </w:rPr>
            </w:pPr>
            <w:r>
              <w:rPr>
                <w:rFonts w:ascii="Arial" w:cs="Arial" w:eastAsia="Arial" w:hAnsi="Arial"/>
                <w:sz w:val="15"/>
                <w:szCs w:val="15"/>
                <w:color w:val="auto"/>
              </w:rPr>
              <w:t>433,002</w:t>
            </w:r>
            <w:r>
              <w:rPr>
                <w:rFonts w:ascii="Arial" w:cs="Arial" w:eastAsia="Arial" w:hAnsi="Arial"/>
                <w:sz w:val="24"/>
                <w:szCs w:val="24"/>
                <w:color w:val="auto"/>
                <w:vertAlign w:val="superscript"/>
              </w:rPr>
              <w:t>(1)</w:t>
            </w:r>
          </w:p>
        </w:tc>
        <w:tc>
          <w:tcPr>
            <w:tcW w:w="9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w:t>
            </w:r>
          </w:p>
        </w:tc>
      </w:tr>
      <w:tr>
        <w:trPr>
          <w:trHeight w:val="169"/>
        </w:trPr>
        <w:tc>
          <w:tcPr>
            <w:tcW w:w="680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color w:val="auto"/>
              </w:rPr>
              <w:t>Bryan E. Mittelman</w:t>
            </w:r>
          </w:p>
        </w:tc>
        <w:tc>
          <w:tcPr>
            <w:tcW w:w="3500" w:type="dxa"/>
            <w:vAlign w:val="bottom"/>
            <w:tcBorders>
              <w:bottom w:val="single" w:sz="8" w:color="002F4D"/>
            </w:tcBorders>
          </w:tcPr>
          <w:p>
            <w:pPr>
              <w:jc w:val="right"/>
              <w:ind w:right="344"/>
              <w:spacing w:after="0" w:line="169" w:lineRule="exact"/>
              <w:rPr>
                <w:sz w:val="20"/>
                <w:szCs w:val="20"/>
                <w:color w:val="auto"/>
              </w:rPr>
            </w:pPr>
            <w:r>
              <w:rPr>
                <w:rFonts w:ascii="Arial" w:cs="Arial" w:eastAsia="Arial" w:hAnsi="Arial"/>
                <w:sz w:val="15"/>
                <w:szCs w:val="15"/>
                <w:color w:val="auto"/>
              </w:rPr>
              <w:t>39,995</w:t>
            </w:r>
          </w:p>
        </w:tc>
        <w:tc>
          <w:tcPr>
            <w:tcW w:w="940" w:type="dxa"/>
            <w:vAlign w:val="bottom"/>
            <w:tcBorders>
              <w:bottom w:val="single" w:sz="8" w:color="002F4D"/>
            </w:tcBorders>
          </w:tcPr>
          <w:p>
            <w:pPr>
              <w:jc w:val="right"/>
              <w:spacing w:after="0" w:line="169" w:lineRule="exact"/>
              <w:rPr>
                <w:sz w:val="20"/>
                <w:szCs w:val="20"/>
                <w:color w:val="auto"/>
              </w:rPr>
            </w:pPr>
            <w:r>
              <w:rPr>
                <w:rFonts w:ascii="Arial" w:cs="Arial" w:eastAsia="Arial" w:hAnsi="Arial"/>
                <w:sz w:val="15"/>
                <w:szCs w:val="15"/>
                <w:color w:val="auto"/>
              </w:rPr>
              <w:t>*</w:t>
            </w:r>
          </w:p>
        </w:tc>
      </w:tr>
      <w:tr>
        <w:trPr>
          <w:trHeight w:val="169"/>
        </w:trPr>
        <w:tc>
          <w:tcPr>
            <w:tcW w:w="680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color w:val="auto"/>
              </w:rPr>
              <w:t>James K. Pool III</w:t>
            </w:r>
          </w:p>
        </w:tc>
        <w:tc>
          <w:tcPr>
            <w:tcW w:w="3500" w:type="dxa"/>
            <w:vAlign w:val="bottom"/>
            <w:tcBorders>
              <w:bottom w:val="single" w:sz="8" w:color="002F4D"/>
            </w:tcBorders>
          </w:tcPr>
          <w:p>
            <w:pPr>
              <w:jc w:val="right"/>
              <w:ind w:right="344"/>
              <w:spacing w:after="0" w:line="169" w:lineRule="exact"/>
              <w:rPr>
                <w:sz w:val="20"/>
                <w:szCs w:val="20"/>
                <w:color w:val="auto"/>
              </w:rPr>
            </w:pPr>
            <w:r>
              <w:rPr>
                <w:rFonts w:ascii="Arial" w:cs="Arial" w:eastAsia="Arial" w:hAnsi="Arial"/>
                <w:sz w:val="15"/>
                <w:szCs w:val="15"/>
                <w:color w:val="auto"/>
              </w:rPr>
              <w:t>50,327</w:t>
            </w:r>
          </w:p>
        </w:tc>
        <w:tc>
          <w:tcPr>
            <w:tcW w:w="940" w:type="dxa"/>
            <w:vAlign w:val="bottom"/>
            <w:tcBorders>
              <w:bottom w:val="single" w:sz="8" w:color="002F4D"/>
            </w:tcBorders>
          </w:tcPr>
          <w:p>
            <w:pPr>
              <w:jc w:val="right"/>
              <w:spacing w:after="0" w:line="169" w:lineRule="exact"/>
              <w:rPr>
                <w:sz w:val="20"/>
                <w:szCs w:val="20"/>
                <w:color w:val="auto"/>
              </w:rPr>
            </w:pPr>
            <w:r>
              <w:rPr>
                <w:rFonts w:ascii="Arial" w:cs="Arial" w:eastAsia="Arial" w:hAnsi="Arial"/>
                <w:sz w:val="15"/>
                <w:szCs w:val="15"/>
                <w:color w:val="auto"/>
              </w:rPr>
              <w:t>*</w:t>
            </w:r>
          </w:p>
        </w:tc>
      </w:tr>
      <w:tr>
        <w:trPr>
          <w:trHeight w:val="169"/>
        </w:trPr>
        <w:tc>
          <w:tcPr>
            <w:tcW w:w="680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color w:val="auto"/>
              </w:rPr>
              <w:t>Steven P. Spittle</w:t>
            </w:r>
          </w:p>
        </w:tc>
        <w:tc>
          <w:tcPr>
            <w:tcW w:w="3500" w:type="dxa"/>
            <w:vAlign w:val="bottom"/>
            <w:tcBorders>
              <w:bottom w:val="single" w:sz="8" w:color="002F4D"/>
            </w:tcBorders>
          </w:tcPr>
          <w:p>
            <w:pPr>
              <w:jc w:val="right"/>
              <w:ind w:right="344"/>
              <w:spacing w:after="0" w:line="169" w:lineRule="exact"/>
              <w:rPr>
                <w:sz w:val="20"/>
                <w:szCs w:val="20"/>
                <w:color w:val="auto"/>
              </w:rPr>
            </w:pPr>
            <w:r>
              <w:rPr>
                <w:rFonts w:ascii="Arial" w:cs="Arial" w:eastAsia="Arial" w:hAnsi="Arial"/>
                <w:sz w:val="15"/>
                <w:szCs w:val="15"/>
                <w:color w:val="auto"/>
              </w:rPr>
              <w:t>48,512</w:t>
            </w:r>
          </w:p>
        </w:tc>
        <w:tc>
          <w:tcPr>
            <w:tcW w:w="940" w:type="dxa"/>
            <w:vAlign w:val="bottom"/>
            <w:tcBorders>
              <w:bottom w:val="single" w:sz="8" w:color="002F4D"/>
            </w:tcBorders>
          </w:tcPr>
          <w:p>
            <w:pPr>
              <w:jc w:val="right"/>
              <w:spacing w:after="0" w:line="169" w:lineRule="exact"/>
              <w:rPr>
                <w:sz w:val="20"/>
                <w:szCs w:val="20"/>
                <w:color w:val="auto"/>
              </w:rPr>
            </w:pPr>
            <w:r>
              <w:rPr>
                <w:rFonts w:ascii="Arial" w:cs="Arial" w:eastAsia="Arial" w:hAnsi="Arial"/>
                <w:sz w:val="15"/>
                <w:szCs w:val="15"/>
                <w:color w:val="auto"/>
              </w:rPr>
              <w:t>*</w:t>
            </w:r>
          </w:p>
        </w:tc>
      </w:tr>
      <w:tr>
        <w:trPr>
          <w:trHeight w:val="169"/>
        </w:trPr>
        <w:tc>
          <w:tcPr>
            <w:tcW w:w="680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color w:val="auto"/>
              </w:rPr>
              <w:t>Matthew R. Fuchsen</w:t>
            </w:r>
          </w:p>
        </w:tc>
        <w:tc>
          <w:tcPr>
            <w:tcW w:w="3500" w:type="dxa"/>
            <w:vAlign w:val="bottom"/>
            <w:tcBorders>
              <w:bottom w:val="single" w:sz="8" w:color="002F4D"/>
            </w:tcBorders>
          </w:tcPr>
          <w:p>
            <w:pPr>
              <w:jc w:val="right"/>
              <w:ind w:right="344"/>
              <w:spacing w:after="0" w:line="169" w:lineRule="exact"/>
              <w:rPr>
                <w:sz w:val="20"/>
                <w:szCs w:val="20"/>
                <w:color w:val="auto"/>
              </w:rPr>
            </w:pPr>
            <w:r>
              <w:rPr>
                <w:rFonts w:ascii="Arial" w:cs="Arial" w:eastAsia="Arial" w:hAnsi="Arial"/>
                <w:sz w:val="15"/>
                <w:szCs w:val="15"/>
                <w:color w:val="auto"/>
              </w:rPr>
              <w:t>38,268</w:t>
            </w:r>
          </w:p>
        </w:tc>
        <w:tc>
          <w:tcPr>
            <w:tcW w:w="940" w:type="dxa"/>
            <w:vAlign w:val="bottom"/>
            <w:tcBorders>
              <w:bottom w:val="single" w:sz="8" w:color="002F4D"/>
            </w:tcBorders>
          </w:tcPr>
          <w:p>
            <w:pPr>
              <w:jc w:val="right"/>
              <w:spacing w:after="0" w:line="169" w:lineRule="exact"/>
              <w:rPr>
                <w:sz w:val="20"/>
                <w:szCs w:val="20"/>
                <w:color w:val="auto"/>
              </w:rPr>
            </w:pPr>
            <w:r>
              <w:rPr>
                <w:rFonts w:ascii="Arial" w:cs="Arial" w:eastAsia="Arial" w:hAnsi="Arial"/>
                <w:sz w:val="15"/>
                <w:szCs w:val="15"/>
                <w:color w:val="auto"/>
              </w:rPr>
              <w:t>*</w:t>
            </w:r>
          </w:p>
        </w:tc>
      </w:tr>
      <w:tr>
        <w:trPr>
          <w:trHeight w:val="169"/>
        </w:trPr>
        <w:tc>
          <w:tcPr>
            <w:tcW w:w="680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color w:val="auto"/>
              </w:rPr>
              <w:t>Julie Bowerman</w:t>
            </w:r>
          </w:p>
        </w:tc>
        <w:tc>
          <w:tcPr>
            <w:tcW w:w="3500" w:type="dxa"/>
            <w:vAlign w:val="bottom"/>
            <w:tcBorders>
              <w:bottom w:val="single" w:sz="8" w:color="002F4D"/>
            </w:tcBorders>
          </w:tcPr>
          <w:p>
            <w:pPr>
              <w:jc w:val="right"/>
              <w:ind w:right="344"/>
              <w:spacing w:after="0" w:line="169" w:lineRule="exact"/>
              <w:rPr>
                <w:sz w:val="20"/>
                <w:szCs w:val="20"/>
                <w:color w:val="auto"/>
              </w:rPr>
            </w:pPr>
            <w:r>
              <w:rPr>
                <w:rFonts w:ascii="Arial" w:cs="Arial" w:eastAsia="Arial" w:hAnsi="Arial"/>
                <w:sz w:val="15"/>
                <w:szCs w:val="15"/>
                <w:color w:val="auto"/>
              </w:rPr>
              <w:t>1,108</w:t>
            </w:r>
          </w:p>
        </w:tc>
        <w:tc>
          <w:tcPr>
            <w:tcW w:w="940" w:type="dxa"/>
            <w:vAlign w:val="bottom"/>
            <w:tcBorders>
              <w:bottom w:val="single" w:sz="8" w:color="002F4D"/>
            </w:tcBorders>
          </w:tcPr>
          <w:p>
            <w:pPr>
              <w:spacing w:after="0"/>
              <w:rPr>
                <w:sz w:val="14"/>
                <w:szCs w:val="14"/>
                <w:color w:val="auto"/>
              </w:rPr>
            </w:pPr>
          </w:p>
        </w:tc>
      </w:tr>
      <w:tr>
        <w:trPr>
          <w:trHeight w:val="169"/>
        </w:trPr>
        <w:tc>
          <w:tcPr>
            <w:tcW w:w="680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color w:val="auto"/>
              </w:rPr>
              <w:t>Sarah Palisi Chapin</w:t>
            </w:r>
          </w:p>
        </w:tc>
        <w:tc>
          <w:tcPr>
            <w:tcW w:w="3500" w:type="dxa"/>
            <w:vAlign w:val="bottom"/>
            <w:tcBorders>
              <w:bottom w:val="single" w:sz="8" w:color="002F4D"/>
            </w:tcBorders>
          </w:tcPr>
          <w:p>
            <w:pPr>
              <w:jc w:val="right"/>
              <w:ind w:right="344"/>
              <w:spacing w:after="0" w:line="169" w:lineRule="exact"/>
              <w:rPr>
                <w:sz w:val="20"/>
                <w:szCs w:val="20"/>
                <w:color w:val="auto"/>
              </w:rPr>
            </w:pPr>
            <w:r>
              <w:rPr>
                <w:rFonts w:ascii="Arial" w:cs="Arial" w:eastAsia="Arial" w:hAnsi="Arial"/>
                <w:sz w:val="15"/>
                <w:szCs w:val="15"/>
                <w:color w:val="auto"/>
              </w:rPr>
              <w:t>7,219</w:t>
            </w:r>
          </w:p>
        </w:tc>
        <w:tc>
          <w:tcPr>
            <w:tcW w:w="940" w:type="dxa"/>
            <w:vAlign w:val="bottom"/>
            <w:tcBorders>
              <w:bottom w:val="single" w:sz="8" w:color="002F4D"/>
            </w:tcBorders>
          </w:tcPr>
          <w:p>
            <w:pPr>
              <w:jc w:val="right"/>
              <w:spacing w:after="0" w:line="169" w:lineRule="exact"/>
              <w:rPr>
                <w:sz w:val="20"/>
                <w:szCs w:val="20"/>
                <w:color w:val="auto"/>
              </w:rPr>
            </w:pPr>
            <w:r>
              <w:rPr>
                <w:rFonts w:ascii="Arial" w:cs="Arial" w:eastAsia="Arial" w:hAnsi="Arial"/>
                <w:sz w:val="15"/>
                <w:szCs w:val="15"/>
                <w:color w:val="auto"/>
              </w:rPr>
              <w:t>*</w:t>
            </w:r>
          </w:p>
        </w:tc>
      </w:tr>
      <w:tr>
        <w:trPr>
          <w:trHeight w:val="169"/>
        </w:trPr>
        <w:tc>
          <w:tcPr>
            <w:tcW w:w="680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color w:val="auto"/>
              </w:rPr>
              <w:t>Glenn A. Eisenberg</w:t>
            </w:r>
          </w:p>
        </w:tc>
        <w:tc>
          <w:tcPr>
            <w:tcW w:w="3500" w:type="dxa"/>
            <w:vAlign w:val="bottom"/>
            <w:tcBorders>
              <w:bottom w:val="single" w:sz="8" w:color="002F4D"/>
            </w:tcBorders>
          </w:tcPr>
          <w:p>
            <w:pPr>
              <w:jc w:val="right"/>
              <w:ind w:right="344"/>
              <w:spacing w:after="0" w:line="169"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002F4D"/>
            </w:tcBorders>
          </w:tcPr>
          <w:p>
            <w:pPr>
              <w:jc w:val="right"/>
              <w:spacing w:after="0" w:line="169" w:lineRule="exact"/>
              <w:rPr>
                <w:sz w:val="20"/>
                <w:szCs w:val="20"/>
                <w:color w:val="auto"/>
              </w:rPr>
            </w:pPr>
            <w:r>
              <w:rPr>
                <w:rFonts w:ascii="Arial" w:cs="Arial" w:eastAsia="Arial" w:hAnsi="Arial"/>
                <w:sz w:val="15"/>
                <w:szCs w:val="15"/>
                <w:color w:val="auto"/>
              </w:rPr>
              <w:t>*</w:t>
            </w:r>
          </w:p>
        </w:tc>
      </w:tr>
      <w:tr>
        <w:trPr>
          <w:trHeight w:val="207"/>
        </w:trPr>
        <w:tc>
          <w:tcPr>
            <w:tcW w:w="6800" w:type="dxa"/>
            <w:vAlign w:val="bottom"/>
            <w:tcBorders>
              <w:bottom w:val="single" w:sz="8" w:color="002F4D"/>
            </w:tcBorders>
          </w:tcPr>
          <w:p>
            <w:pPr>
              <w:ind w:left="60"/>
              <w:spacing w:after="0" w:line="207" w:lineRule="exact"/>
              <w:rPr>
                <w:sz w:val="20"/>
                <w:szCs w:val="20"/>
                <w:color w:val="auto"/>
              </w:rPr>
            </w:pPr>
            <w:r>
              <w:rPr>
                <w:rFonts w:ascii="Arial" w:cs="Arial" w:eastAsia="Arial" w:hAnsi="Arial"/>
                <w:sz w:val="15"/>
                <w:szCs w:val="15"/>
                <w:color w:val="auto"/>
              </w:rPr>
              <w:t>Edward Garden</w:t>
            </w:r>
            <w:r>
              <w:rPr>
                <w:rFonts w:ascii="Arial" w:cs="Arial" w:eastAsia="Arial" w:hAnsi="Arial"/>
                <w:sz w:val="24"/>
                <w:szCs w:val="24"/>
                <w:color w:val="auto"/>
                <w:vertAlign w:val="superscript"/>
              </w:rPr>
              <w:t>(2)</w:t>
            </w:r>
          </w:p>
        </w:tc>
        <w:tc>
          <w:tcPr>
            <w:tcW w:w="3500" w:type="dxa"/>
            <w:vAlign w:val="bottom"/>
            <w:tcBorders>
              <w:bottom w:val="single" w:sz="8" w:color="002F4D"/>
            </w:tcBorders>
          </w:tcPr>
          <w:p>
            <w:pPr>
              <w:jc w:val="right"/>
              <w:ind w:right="344"/>
              <w:spacing w:after="0"/>
              <w:rPr>
                <w:sz w:val="20"/>
                <w:szCs w:val="20"/>
                <w:color w:val="auto"/>
              </w:rPr>
            </w:pPr>
            <w:r>
              <w:rPr>
                <w:rFonts w:ascii="Arial" w:cs="Arial" w:eastAsia="Arial" w:hAnsi="Arial"/>
                <w:sz w:val="15"/>
                <w:szCs w:val="15"/>
                <w:color w:val="auto"/>
              </w:rPr>
              <w:t>3,379,737</w:t>
            </w:r>
          </w:p>
        </w:tc>
        <w:tc>
          <w:tcPr>
            <w:tcW w:w="9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7.25%</w:t>
            </w:r>
          </w:p>
        </w:tc>
      </w:tr>
      <w:tr>
        <w:trPr>
          <w:trHeight w:val="169"/>
        </w:trPr>
        <w:tc>
          <w:tcPr>
            <w:tcW w:w="680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color w:val="auto"/>
              </w:rPr>
              <w:t>Christopher M. Hix</w:t>
            </w:r>
          </w:p>
        </w:tc>
        <w:tc>
          <w:tcPr>
            <w:tcW w:w="3500" w:type="dxa"/>
            <w:vAlign w:val="bottom"/>
            <w:tcBorders>
              <w:bottom w:val="single" w:sz="8" w:color="002F4D"/>
            </w:tcBorders>
          </w:tcPr>
          <w:p>
            <w:pPr>
              <w:jc w:val="right"/>
              <w:ind w:right="344"/>
              <w:spacing w:after="0" w:line="169"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002F4D"/>
            </w:tcBorders>
          </w:tcPr>
          <w:p>
            <w:pPr>
              <w:jc w:val="right"/>
              <w:spacing w:after="0" w:line="169" w:lineRule="exact"/>
              <w:rPr>
                <w:sz w:val="20"/>
                <w:szCs w:val="20"/>
                <w:color w:val="auto"/>
              </w:rPr>
            </w:pPr>
            <w:r>
              <w:rPr>
                <w:rFonts w:ascii="Arial" w:cs="Arial" w:eastAsia="Arial" w:hAnsi="Arial"/>
                <w:sz w:val="15"/>
                <w:szCs w:val="15"/>
                <w:color w:val="auto"/>
              </w:rPr>
              <w:t>*</w:t>
            </w:r>
          </w:p>
        </w:tc>
      </w:tr>
      <w:tr>
        <w:trPr>
          <w:trHeight w:val="169"/>
        </w:trPr>
        <w:tc>
          <w:tcPr>
            <w:tcW w:w="680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color w:val="auto"/>
              </w:rPr>
              <w:t>Cathy L. McCarthy</w:t>
            </w:r>
          </w:p>
        </w:tc>
        <w:tc>
          <w:tcPr>
            <w:tcW w:w="3500" w:type="dxa"/>
            <w:vAlign w:val="bottom"/>
            <w:tcBorders>
              <w:bottom w:val="single" w:sz="8" w:color="002F4D"/>
            </w:tcBorders>
          </w:tcPr>
          <w:p>
            <w:pPr>
              <w:jc w:val="right"/>
              <w:ind w:right="344"/>
              <w:spacing w:after="0" w:line="169" w:lineRule="exact"/>
              <w:rPr>
                <w:sz w:val="20"/>
                <w:szCs w:val="20"/>
                <w:color w:val="auto"/>
              </w:rPr>
            </w:pPr>
            <w:r>
              <w:rPr>
                <w:rFonts w:ascii="Arial" w:cs="Arial" w:eastAsia="Arial" w:hAnsi="Arial"/>
                <w:sz w:val="15"/>
                <w:szCs w:val="15"/>
                <w:color w:val="auto"/>
              </w:rPr>
              <w:t>9,719</w:t>
            </w:r>
          </w:p>
        </w:tc>
        <w:tc>
          <w:tcPr>
            <w:tcW w:w="940" w:type="dxa"/>
            <w:vAlign w:val="bottom"/>
            <w:tcBorders>
              <w:bottom w:val="single" w:sz="8" w:color="002F4D"/>
            </w:tcBorders>
          </w:tcPr>
          <w:p>
            <w:pPr>
              <w:jc w:val="right"/>
              <w:spacing w:after="0" w:line="169" w:lineRule="exact"/>
              <w:rPr>
                <w:sz w:val="20"/>
                <w:szCs w:val="20"/>
                <w:color w:val="auto"/>
              </w:rPr>
            </w:pPr>
            <w:r>
              <w:rPr>
                <w:rFonts w:ascii="Arial" w:cs="Arial" w:eastAsia="Arial" w:hAnsi="Arial"/>
                <w:sz w:val="15"/>
                <w:szCs w:val="15"/>
                <w:color w:val="auto"/>
              </w:rPr>
              <w:t>*</w:t>
            </w:r>
          </w:p>
        </w:tc>
      </w:tr>
      <w:tr>
        <w:trPr>
          <w:trHeight w:val="169"/>
        </w:trPr>
        <w:tc>
          <w:tcPr>
            <w:tcW w:w="680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color w:val="auto"/>
              </w:rPr>
              <w:t>Robert A. Nerbonne</w:t>
            </w:r>
          </w:p>
        </w:tc>
        <w:tc>
          <w:tcPr>
            <w:tcW w:w="3500" w:type="dxa"/>
            <w:vAlign w:val="bottom"/>
            <w:tcBorders>
              <w:bottom w:val="single" w:sz="8" w:color="002F4D"/>
            </w:tcBorders>
          </w:tcPr>
          <w:p>
            <w:pPr>
              <w:jc w:val="right"/>
              <w:ind w:right="344"/>
              <w:spacing w:after="0" w:line="169" w:lineRule="exact"/>
              <w:rPr>
                <w:sz w:val="20"/>
                <w:szCs w:val="20"/>
                <w:color w:val="auto"/>
              </w:rPr>
            </w:pPr>
            <w:r>
              <w:rPr>
                <w:rFonts w:ascii="Arial" w:cs="Arial" w:eastAsia="Arial" w:hAnsi="Arial"/>
                <w:sz w:val="15"/>
                <w:szCs w:val="15"/>
                <w:color w:val="auto"/>
              </w:rPr>
              <w:t>25,001</w:t>
            </w:r>
          </w:p>
        </w:tc>
        <w:tc>
          <w:tcPr>
            <w:tcW w:w="940" w:type="dxa"/>
            <w:vAlign w:val="bottom"/>
            <w:tcBorders>
              <w:bottom w:val="single" w:sz="8" w:color="002F4D"/>
            </w:tcBorders>
          </w:tcPr>
          <w:p>
            <w:pPr>
              <w:jc w:val="right"/>
              <w:spacing w:after="0" w:line="169" w:lineRule="exact"/>
              <w:rPr>
                <w:sz w:val="20"/>
                <w:szCs w:val="20"/>
                <w:color w:val="auto"/>
              </w:rPr>
            </w:pPr>
            <w:r>
              <w:rPr>
                <w:rFonts w:ascii="Arial" w:cs="Arial" w:eastAsia="Arial" w:hAnsi="Arial"/>
                <w:sz w:val="15"/>
                <w:szCs w:val="15"/>
                <w:color w:val="auto"/>
              </w:rPr>
              <w:t>*</w:t>
            </w:r>
          </w:p>
        </w:tc>
      </w:tr>
      <w:tr>
        <w:trPr>
          <w:trHeight w:val="169"/>
        </w:trPr>
        <w:tc>
          <w:tcPr>
            <w:tcW w:w="680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color w:val="auto"/>
              </w:rPr>
              <w:t>Gordon J. O’Brien</w:t>
            </w:r>
          </w:p>
        </w:tc>
        <w:tc>
          <w:tcPr>
            <w:tcW w:w="3500" w:type="dxa"/>
            <w:vAlign w:val="bottom"/>
            <w:tcBorders>
              <w:bottom w:val="single" w:sz="8" w:color="002F4D"/>
            </w:tcBorders>
          </w:tcPr>
          <w:p>
            <w:pPr>
              <w:jc w:val="right"/>
              <w:ind w:right="344"/>
              <w:spacing w:after="0" w:line="169" w:lineRule="exact"/>
              <w:rPr>
                <w:sz w:val="20"/>
                <w:szCs w:val="20"/>
                <w:color w:val="auto"/>
              </w:rPr>
            </w:pPr>
            <w:r>
              <w:rPr>
                <w:rFonts w:ascii="Arial" w:cs="Arial" w:eastAsia="Arial" w:hAnsi="Arial"/>
                <w:sz w:val="15"/>
                <w:szCs w:val="15"/>
                <w:color w:val="auto"/>
              </w:rPr>
              <w:t>42,254</w:t>
            </w:r>
          </w:p>
        </w:tc>
        <w:tc>
          <w:tcPr>
            <w:tcW w:w="940" w:type="dxa"/>
            <w:vAlign w:val="bottom"/>
            <w:tcBorders>
              <w:bottom w:val="single" w:sz="8" w:color="002F4D"/>
            </w:tcBorders>
          </w:tcPr>
          <w:p>
            <w:pPr>
              <w:jc w:val="right"/>
              <w:spacing w:after="0" w:line="169" w:lineRule="exact"/>
              <w:rPr>
                <w:sz w:val="20"/>
                <w:szCs w:val="20"/>
                <w:color w:val="auto"/>
              </w:rPr>
            </w:pPr>
            <w:r>
              <w:rPr>
                <w:rFonts w:ascii="Arial" w:cs="Arial" w:eastAsia="Arial" w:hAnsi="Arial"/>
                <w:sz w:val="15"/>
                <w:szCs w:val="15"/>
                <w:color w:val="auto"/>
              </w:rPr>
              <w:t>*</w:t>
            </w:r>
          </w:p>
        </w:tc>
      </w:tr>
      <w:tr>
        <w:trPr>
          <w:trHeight w:val="169"/>
        </w:trPr>
        <w:tc>
          <w:tcPr>
            <w:tcW w:w="680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color w:val="auto"/>
              </w:rPr>
              <w:t>Stephen R. Scherger</w:t>
            </w:r>
          </w:p>
        </w:tc>
        <w:tc>
          <w:tcPr>
            <w:tcW w:w="3500" w:type="dxa"/>
            <w:vAlign w:val="bottom"/>
            <w:tcBorders>
              <w:bottom w:val="single" w:sz="8" w:color="002F4D"/>
            </w:tcBorders>
          </w:tcPr>
          <w:p>
            <w:pPr>
              <w:jc w:val="right"/>
              <w:ind w:right="344"/>
              <w:spacing w:after="0" w:line="169" w:lineRule="exact"/>
              <w:rPr>
                <w:sz w:val="20"/>
                <w:szCs w:val="20"/>
                <w:color w:val="auto"/>
              </w:rPr>
            </w:pPr>
            <w:r>
              <w:rPr>
                <w:rFonts w:ascii="Arial" w:cs="Arial" w:eastAsia="Arial" w:hAnsi="Arial"/>
                <w:sz w:val="15"/>
                <w:szCs w:val="15"/>
                <w:color w:val="auto"/>
              </w:rPr>
              <w:t>4,248</w:t>
            </w:r>
          </w:p>
        </w:tc>
        <w:tc>
          <w:tcPr>
            <w:tcW w:w="940" w:type="dxa"/>
            <w:vAlign w:val="bottom"/>
            <w:tcBorders>
              <w:bottom w:val="single" w:sz="8" w:color="002F4D"/>
            </w:tcBorders>
          </w:tcPr>
          <w:p>
            <w:pPr>
              <w:jc w:val="right"/>
              <w:spacing w:after="0" w:line="169" w:lineRule="exact"/>
              <w:rPr>
                <w:sz w:val="20"/>
                <w:szCs w:val="20"/>
                <w:color w:val="auto"/>
              </w:rPr>
            </w:pPr>
            <w:r>
              <w:rPr>
                <w:rFonts w:ascii="Arial" w:cs="Arial" w:eastAsia="Arial" w:hAnsi="Arial"/>
                <w:sz w:val="15"/>
                <w:szCs w:val="15"/>
                <w:color w:val="auto"/>
              </w:rPr>
              <w:t>*</w:t>
            </w:r>
          </w:p>
        </w:tc>
      </w:tr>
      <w:tr>
        <w:trPr>
          <w:trHeight w:val="169"/>
        </w:trPr>
        <w:tc>
          <w:tcPr>
            <w:tcW w:w="680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color w:val="auto"/>
              </w:rPr>
              <w:t>Tejas P. Shah</w:t>
            </w:r>
          </w:p>
        </w:tc>
        <w:tc>
          <w:tcPr>
            <w:tcW w:w="3500" w:type="dxa"/>
            <w:vAlign w:val="bottom"/>
            <w:tcBorders>
              <w:bottom w:val="single" w:sz="8" w:color="002F4D"/>
            </w:tcBorders>
          </w:tcPr>
          <w:p>
            <w:pPr>
              <w:jc w:val="right"/>
              <w:ind w:right="344"/>
              <w:spacing w:after="0" w:line="169" w:lineRule="exact"/>
              <w:rPr>
                <w:sz w:val="20"/>
                <w:szCs w:val="20"/>
                <w:color w:val="auto"/>
              </w:rPr>
            </w:pPr>
            <w:r>
              <w:rPr>
                <w:rFonts w:ascii="Arial" w:cs="Arial" w:eastAsia="Arial" w:hAnsi="Arial"/>
                <w:sz w:val="15"/>
                <w:szCs w:val="15"/>
                <w:color w:val="auto"/>
              </w:rPr>
              <w:t>2,248</w:t>
            </w:r>
          </w:p>
        </w:tc>
        <w:tc>
          <w:tcPr>
            <w:tcW w:w="940" w:type="dxa"/>
            <w:vAlign w:val="bottom"/>
            <w:tcBorders>
              <w:bottom w:val="single" w:sz="8" w:color="002F4D"/>
            </w:tcBorders>
          </w:tcPr>
          <w:p>
            <w:pPr>
              <w:jc w:val="right"/>
              <w:spacing w:after="0" w:line="169" w:lineRule="exact"/>
              <w:rPr>
                <w:sz w:val="20"/>
                <w:szCs w:val="20"/>
                <w:color w:val="auto"/>
              </w:rPr>
            </w:pPr>
            <w:r>
              <w:rPr>
                <w:rFonts w:ascii="Arial" w:cs="Arial" w:eastAsia="Arial" w:hAnsi="Arial"/>
                <w:sz w:val="15"/>
                <w:szCs w:val="15"/>
                <w:color w:val="auto"/>
              </w:rPr>
              <w:t>*</w:t>
            </w:r>
          </w:p>
        </w:tc>
      </w:tr>
      <w:tr>
        <w:trPr>
          <w:trHeight w:val="169"/>
        </w:trPr>
        <w:tc>
          <w:tcPr>
            <w:tcW w:w="680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color w:val="auto"/>
              </w:rPr>
              <w:t>Nassem A. Ziyad</w:t>
            </w:r>
          </w:p>
        </w:tc>
        <w:tc>
          <w:tcPr>
            <w:tcW w:w="3500" w:type="dxa"/>
            <w:vAlign w:val="bottom"/>
            <w:tcBorders>
              <w:bottom w:val="single" w:sz="8" w:color="002F4D"/>
            </w:tcBorders>
          </w:tcPr>
          <w:p>
            <w:pPr>
              <w:jc w:val="right"/>
              <w:ind w:right="344"/>
              <w:spacing w:after="0" w:line="169" w:lineRule="exact"/>
              <w:rPr>
                <w:sz w:val="20"/>
                <w:szCs w:val="20"/>
                <w:color w:val="auto"/>
              </w:rPr>
            </w:pPr>
            <w:r>
              <w:rPr>
                <w:rFonts w:ascii="Arial" w:cs="Arial" w:eastAsia="Arial" w:hAnsi="Arial"/>
                <w:sz w:val="15"/>
                <w:szCs w:val="15"/>
                <w:color w:val="auto"/>
              </w:rPr>
              <w:t>13,031</w:t>
            </w:r>
          </w:p>
        </w:tc>
        <w:tc>
          <w:tcPr>
            <w:tcW w:w="940" w:type="dxa"/>
            <w:vAlign w:val="bottom"/>
            <w:tcBorders>
              <w:bottom w:val="single" w:sz="8" w:color="002F4D"/>
            </w:tcBorders>
          </w:tcPr>
          <w:p>
            <w:pPr>
              <w:jc w:val="right"/>
              <w:spacing w:after="0" w:line="169" w:lineRule="exact"/>
              <w:rPr>
                <w:sz w:val="20"/>
                <w:szCs w:val="20"/>
                <w:color w:val="auto"/>
              </w:rPr>
            </w:pPr>
            <w:r>
              <w:rPr>
                <w:rFonts w:ascii="Arial" w:cs="Arial" w:eastAsia="Arial" w:hAnsi="Arial"/>
                <w:sz w:val="15"/>
                <w:szCs w:val="15"/>
                <w:color w:val="auto"/>
              </w:rPr>
              <w:t>*</w:t>
            </w:r>
          </w:p>
        </w:tc>
      </w:tr>
      <w:tr>
        <w:trPr>
          <w:trHeight w:val="169"/>
        </w:trPr>
        <w:tc>
          <w:tcPr>
            <w:tcW w:w="6800" w:type="dxa"/>
            <w:vAlign w:val="bottom"/>
            <w:tcBorders>
              <w:bottom w:val="single" w:sz="8" w:color="002F4D"/>
            </w:tcBorders>
          </w:tcPr>
          <w:p>
            <w:pPr>
              <w:ind w:left="60"/>
              <w:spacing w:after="0" w:line="169" w:lineRule="exact"/>
              <w:rPr>
                <w:sz w:val="20"/>
                <w:szCs w:val="20"/>
                <w:color w:val="auto"/>
              </w:rPr>
            </w:pPr>
            <w:r>
              <w:rPr>
                <w:rFonts w:ascii="Arial" w:cs="Arial" w:eastAsia="Arial" w:hAnsi="Arial"/>
                <w:sz w:val="15"/>
                <w:szCs w:val="15"/>
                <w:color w:val="auto"/>
              </w:rPr>
              <w:t>All directors, nominees and executive officers of the Company (16 individuals)</w:t>
            </w:r>
          </w:p>
        </w:tc>
        <w:tc>
          <w:tcPr>
            <w:tcW w:w="3500" w:type="dxa"/>
            <w:vAlign w:val="bottom"/>
            <w:tcBorders>
              <w:bottom w:val="single" w:sz="8" w:color="002F4D"/>
            </w:tcBorders>
          </w:tcPr>
          <w:p>
            <w:pPr>
              <w:jc w:val="right"/>
              <w:ind w:right="344"/>
              <w:spacing w:after="0" w:line="169" w:lineRule="exact"/>
              <w:rPr>
                <w:sz w:val="20"/>
                <w:szCs w:val="20"/>
                <w:color w:val="auto"/>
              </w:rPr>
            </w:pPr>
            <w:r>
              <w:rPr>
                <w:rFonts w:ascii="Arial" w:cs="Arial" w:eastAsia="Arial" w:hAnsi="Arial"/>
                <w:sz w:val="15"/>
                <w:szCs w:val="15"/>
                <w:color w:val="auto"/>
              </w:rPr>
              <w:t>4,527,671</w:t>
            </w:r>
          </w:p>
        </w:tc>
        <w:tc>
          <w:tcPr>
            <w:tcW w:w="940" w:type="dxa"/>
            <w:vAlign w:val="bottom"/>
            <w:tcBorders>
              <w:bottom w:val="single" w:sz="8" w:color="002F4D"/>
            </w:tcBorders>
          </w:tcPr>
          <w:p>
            <w:pPr>
              <w:jc w:val="right"/>
              <w:spacing w:after="0" w:line="169" w:lineRule="exact"/>
              <w:rPr>
                <w:sz w:val="20"/>
                <w:szCs w:val="20"/>
                <w:color w:val="auto"/>
              </w:rPr>
            </w:pPr>
            <w:r>
              <w:rPr>
                <w:rFonts w:ascii="Arial" w:cs="Arial" w:eastAsia="Arial" w:hAnsi="Arial"/>
                <w:sz w:val="15"/>
                <w:szCs w:val="15"/>
                <w:color w:val="auto"/>
              </w:rPr>
              <w:t>9.71%</w:t>
            </w:r>
          </w:p>
        </w:tc>
      </w:tr>
      <w:tr>
        <w:trPr>
          <w:trHeight w:val="207"/>
        </w:trPr>
        <w:tc>
          <w:tcPr>
            <w:tcW w:w="6800" w:type="dxa"/>
            <w:vAlign w:val="bottom"/>
            <w:tcBorders>
              <w:bottom w:val="single" w:sz="8" w:color="002F4D"/>
            </w:tcBorders>
          </w:tcPr>
          <w:p>
            <w:pPr>
              <w:ind w:left="60"/>
              <w:spacing w:after="0" w:line="207" w:lineRule="exact"/>
              <w:rPr>
                <w:sz w:val="20"/>
                <w:szCs w:val="20"/>
                <w:color w:val="auto"/>
              </w:rPr>
            </w:pPr>
            <w:r>
              <w:rPr>
                <w:rFonts w:ascii="Arial" w:cs="Arial" w:eastAsia="Arial" w:hAnsi="Arial"/>
                <w:sz w:val="15"/>
                <w:szCs w:val="15"/>
                <w:b w:val="1"/>
                <w:bCs w:val="1"/>
                <w:color w:val="auto"/>
              </w:rPr>
              <w:t>T. Rowe Price Associates, Inc.</w:t>
            </w:r>
            <w:r>
              <w:rPr>
                <w:rFonts w:ascii="Arial" w:cs="Arial" w:eastAsia="Arial" w:hAnsi="Arial"/>
                <w:sz w:val="24"/>
                <w:szCs w:val="24"/>
                <w:b w:val="1"/>
                <w:bCs w:val="1"/>
                <w:color w:val="auto"/>
                <w:vertAlign w:val="superscript"/>
              </w:rPr>
              <w:t>(3)</w:t>
            </w:r>
          </w:p>
        </w:tc>
        <w:tc>
          <w:tcPr>
            <w:tcW w:w="3500" w:type="dxa"/>
            <w:vAlign w:val="bottom"/>
            <w:tcBorders>
              <w:bottom w:val="single" w:sz="8" w:color="002F4D"/>
            </w:tcBorders>
          </w:tcPr>
          <w:p>
            <w:pPr>
              <w:jc w:val="right"/>
              <w:ind w:right="344"/>
              <w:spacing w:after="0"/>
              <w:rPr>
                <w:sz w:val="20"/>
                <w:szCs w:val="20"/>
                <w:color w:val="auto"/>
              </w:rPr>
            </w:pPr>
            <w:r>
              <w:rPr>
                <w:rFonts w:ascii="Arial" w:cs="Arial" w:eastAsia="Arial" w:hAnsi="Arial"/>
                <w:sz w:val="15"/>
                <w:szCs w:val="15"/>
                <w:color w:val="auto"/>
              </w:rPr>
              <w:t>5,772,273</w:t>
            </w:r>
          </w:p>
        </w:tc>
        <w:tc>
          <w:tcPr>
            <w:tcW w:w="9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12.38%</w:t>
            </w:r>
          </w:p>
        </w:tc>
      </w:tr>
      <w:tr>
        <w:trPr>
          <w:trHeight w:val="169"/>
        </w:trPr>
        <w:tc>
          <w:tcPr>
            <w:tcW w:w="6800" w:type="dxa"/>
            <w:vAlign w:val="bottom"/>
            <w:tcBorders>
              <w:bottom w:val="single" w:sz="8" w:color="002F4D"/>
            </w:tcBorders>
          </w:tcPr>
          <w:p>
            <w:pPr>
              <w:ind w:left="160"/>
              <w:spacing w:after="0" w:line="169" w:lineRule="exact"/>
              <w:rPr>
                <w:sz w:val="20"/>
                <w:szCs w:val="20"/>
                <w:color w:val="auto"/>
              </w:rPr>
            </w:pPr>
            <w:r>
              <w:rPr>
                <w:rFonts w:ascii="Arial" w:cs="Arial" w:eastAsia="Arial" w:hAnsi="Arial"/>
                <w:sz w:val="15"/>
                <w:szCs w:val="15"/>
                <w:color w:val="auto"/>
              </w:rPr>
              <w:t>1307 Point Street, Baltimore, MD 21231</w:t>
            </w:r>
          </w:p>
        </w:tc>
        <w:tc>
          <w:tcPr>
            <w:tcW w:w="3500" w:type="dxa"/>
            <w:vAlign w:val="bottom"/>
            <w:tcBorders>
              <w:bottom w:val="single" w:sz="8" w:color="002F4D"/>
            </w:tcBorders>
          </w:tcPr>
          <w:p>
            <w:pPr>
              <w:spacing w:after="0"/>
              <w:rPr>
                <w:sz w:val="14"/>
                <w:szCs w:val="14"/>
                <w:color w:val="auto"/>
              </w:rPr>
            </w:pPr>
          </w:p>
        </w:tc>
        <w:tc>
          <w:tcPr>
            <w:tcW w:w="940" w:type="dxa"/>
            <w:vAlign w:val="bottom"/>
            <w:tcBorders>
              <w:bottom w:val="single" w:sz="8" w:color="002F4D"/>
            </w:tcBorders>
          </w:tcPr>
          <w:p>
            <w:pPr>
              <w:spacing w:after="0"/>
              <w:rPr>
                <w:sz w:val="14"/>
                <w:szCs w:val="14"/>
                <w:color w:val="auto"/>
              </w:rPr>
            </w:pPr>
          </w:p>
        </w:tc>
      </w:tr>
      <w:tr>
        <w:trPr>
          <w:trHeight w:val="207"/>
        </w:trPr>
        <w:tc>
          <w:tcPr>
            <w:tcW w:w="6800" w:type="dxa"/>
            <w:vAlign w:val="bottom"/>
            <w:tcBorders>
              <w:bottom w:val="single" w:sz="8" w:color="002F4D"/>
            </w:tcBorders>
          </w:tcPr>
          <w:p>
            <w:pPr>
              <w:ind w:left="60"/>
              <w:spacing w:after="0" w:line="207" w:lineRule="exact"/>
              <w:rPr>
                <w:sz w:val="20"/>
                <w:szCs w:val="20"/>
                <w:color w:val="auto"/>
              </w:rPr>
            </w:pPr>
            <w:r>
              <w:rPr>
                <w:rFonts w:ascii="Arial" w:cs="Arial" w:eastAsia="Arial" w:hAnsi="Arial"/>
                <w:sz w:val="15"/>
                <w:szCs w:val="15"/>
                <w:b w:val="1"/>
                <w:bCs w:val="1"/>
                <w:color w:val="auto"/>
              </w:rPr>
              <w:t>BlackRock, Inc.</w:t>
            </w:r>
            <w:r>
              <w:rPr>
                <w:rFonts w:ascii="Arial" w:cs="Arial" w:eastAsia="Arial" w:hAnsi="Arial"/>
                <w:sz w:val="24"/>
                <w:szCs w:val="24"/>
                <w:b w:val="1"/>
                <w:bCs w:val="1"/>
                <w:color w:val="auto"/>
                <w:vertAlign w:val="superscript"/>
              </w:rPr>
              <w:t>(4)</w:t>
            </w:r>
          </w:p>
        </w:tc>
        <w:tc>
          <w:tcPr>
            <w:tcW w:w="3500" w:type="dxa"/>
            <w:vAlign w:val="bottom"/>
            <w:tcBorders>
              <w:bottom w:val="single" w:sz="8" w:color="002F4D"/>
            </w:tcBorders>
          </w:tcPr>
          <w:p>
            <w:pPr>
              <w:jc w:val="right"/>
              <w:ind w:right="344"/>
              <w:spacing w:after="0"/>
              <w:rPr>
                <w:sz w:val="20"/>
                <w:szCs w:val="20"/>
                <w:color w:val="auto"/>
              </w:rPr>
            </w:pPr>
            <w:r>
              <w:rPr>
                <w:rFonts w:ascii="Arial" w:cs="Arial" w:eastAsia="Arial" w:hAnsi="Arial"/>
                <w:sz w:val="15"/>
                <w:szCs w:val="15"/>
                <w:color w:val="auto"/>
              </w:rPr>
              <w:t>4,457,976</w:t>
            </w:r>
          </w:p>
        </w:tc>
        <w:tc>
          <w:tcPr>
            <w:tcW w:w="9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9.56%</w:t>
            </w:r>
          </w:p>
        </w:tc>
      </w:tr>
      <w:tr>
        <w:trPr>
          <w:trHeight w:val="169"/>
        </w:trPr>
        <w:tc>
          <w:tcPr>
            <w:tcW w:w="6800" w:type="dxa"/>
            <w:vAlign w:val="bottom"/>
            <w:tcBorders>
              <w:bottom w:val="single" w:sz="8" w:color="002F4D"/>
            </w:tcBorders>
          </w:tcPr>
          <w:p>
            <w:pPr>
              <w:ind w:left="160"/>
              <w:spacing w:after="0" w:line="169" w:lineRule="exact"/>
              <w:rPr>
                <w:sz w:val="20"/>
                <w:szCs w:val="20"/>
                <w:color w:val="auto"/>
              </w:rPr>
            </w:pPr>
            <w:r>
              <w:rPr>
                <w:rFonts w:ascii="Arial" w:cs="Arial" w:eastAsia="Arial" w:hAnsi="Arial"/>
                <w:sz w:val="15"/>
                <w:szCs w:val="15"/>
                <w:color w:val="auto"/>
              </w:rPr>
              <w:t>50 Hudson Yards, New York, NY 10001</w:t>
            </w:r>
          </w:p>
        </w:tc>
        <w:tc>
          <w:tcPr>
            <w:tcW w:w="3500" w:type="dxa"/>
            <w:vAlign w:val="bottom"/>
            <w:tcBorders>
              <w:bottom w:val="single" w:sz="8" w:color="002F4D"/>
            </w:tcBorders>
          </w:tcPr>
          <w:p>
            <w:pPr>
              <w:spacing w:after="0"/>
              <w:rPr>
                <w:sz w:val="14"/>
                <w:szCs w:val="14"/>
                <w:color w:val="auto"/>
              </w:rPr>
            </w:pPr>
          </w:p>
        </w:tc>
        <w:tc>
          <w:tcPr>
            <w:tcW w:w="940" w:type="dxa"/>
            <w:vAlign w:val="bottom"/>
            <w:tcBorders>
              <w:bottom w:val="single" w:sz="8" w:color="002F4D"/>
            </w:tcBorders>
          </w:tcPr>
          <w:p>
            <w:pPr>
              <w:spacing w:after="0"/>
              <w:rPr>
                <w:sz w:val="14"/>
                <w:szCs w:val="14"/>
                <w:color w:val="auto"/>
              </w:rPr>
            </w:pPr>
          </w:p>
        </w:tc>
      </w:tr>
      <w:tr>
        <w:trPr>
          <w:trHeight w:val="207"/>
        </w:trPr>
        <w:tc>
          <w:tcPr>
            <w:tcW w:w="6800" w:type="dxa"/>
            <w:vAlign w:val="bottom"/>
            <w:tcBorders>
              <w:bottom w:val="single" w:sz="8" w:color="002F4D"/>
            </w:tcBorders>
          </w:tcPr>
          <w:p>
            <w:pPr>
              <w:ind w:left="60"/>
              <w:spacing w:after="0" w:line="207" w:lineRule="exact"/>
              <w:rPr>
                <w:sz w:val="20"/>
                <w:szCs w:val="20"/>
                <w:color w:val="auto"/>
              </w:rPr>
            </w:pPr>
            <w:r>
              <w:rPr>
                <w:rFonts w:ascii="Arial" w:cs="Arial" w:eastAsia="Arial" w:hAnsi="Arial"/>
                <w:sz w:val="15"/>
                <w:szCs w:val="15"/>
                <w:b w:val="1"/>
                <w:bCs w:val="1"/>
                <w:color w:val="auto"/>
              </w:rPr>
              <w:t>Select Equity Group</w:t>
            </w:r>
            <w:r>
              <w:rPr>
                <w:rFonts w:ascii="Arial" w:cs="Arial" w:eastAsia="Arial" w:hAnsi="Arial"/>
                <w:sz w:val="24"/>
                <w:szCs w:val="24"/>
                <w:b w:val="1"/>
                <w:bCs w:val="1"/>
                <w:color w:val="auto"/>
                <w:vertAlign w:val="superscript"/>
              </w:rPr>
              <w:t>(5)</w:t>
            </w:r>
          </w:p>
        </w:tc>
        <w:tc>
          <w:tcPr>
            <w:tcW w:w="3500" w:type="dxa"/>
            <w:vAlign w:val="bottom"/>
            <w:tcBorders>
              <w:bottom w:val="single" w:sz="8" w:color="002F4D"/>
            </w:tcBorders>
          </w:tcPr>
          <w:p>
            <w:pPr>
              <w:jc w:val="right"/>
              <w:ind w:right="344"/>
              <w:spacing w:after="0"/>
              <w:rPr>
                <w:sz w:val="20"/>
                <w:szCs w:val="20"/>
                <w:color w:val="auto"/>
              </w:rPr>
            </w:pPr>
            <w:r>
              <w:rPr>
                <w:rFonts w:ascii="Arial" w:cs="Arial" w:eastAsia="Arial" w:hAnsi="Arial"/>
                <w:sz w:val="15"/>
                <w:szCs w:val="15"/>
                <w:color w:val="auto"/>
              </w:rPr>
              <w:t>3,028,289</w:t>
            </w:r>
          </w:p>
        </w:tc>
        <w:tc>
          <w:tcPr>
            <w:tcW w:w="9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6.50%</w:t>
            </w:r>
          </w:p>
        </w:tc>
      </w:tr>
      <w:tr>
        <w:trPr>
          <w:trHeight w:val="212"/>
        </w:trPr>
        <w:tc>
          <w:tcPr>
            <w:tcW w:w="6800" w:type="dxa"/>
            <w:vAlign w:val="bottom"/>
            <w:tcBorders>
              <w:bottom w:val="single" w:sz="8" w:color="002F4D"/>
            </w:tcBorders>
          </w:tcPr>
          <w:p>
            <w:pPr>
              <w:ind w:left="160"/>
              <w:spacing w:after="0" w:line="207" w:lineRule="exact"/>
              <w:rPr>
                <w:sz w:val="20"/>
                <w:szCs w:val="20"/>
                <w:color w:val="auto"/>
              </w:rPr>
            </w:pPr>
            <w:r>
              <w:rPr>
                <w:rFonts w:ascii="Arial" w:cs="Arial" w:eastAsia="Arial" w:hAnsi="Arial"/>
                <w:sz w:val="15"/>
                <w:szCs w:val="15"/>
                <w:color w:val="auto"/>
              </w:rPr>
              <w:t>380 Lafayette Street, 6</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Floor, New York, NY 10003</w:t>
            </w:r>
          </w:p>
        </w:tc>
        <w:tc>
          <w:tcPr>
            <w:tcW w:w="3500" w:type="dxa"/>
            <w:vAlign w:val="bottom"/>
            <w:tcBorders>
              <w:bottom w:val="single" w:sz="8" w:color="002F4D"/>
            </w:tcBorders>
          </w:tcPr>
          <w:p>
            <w:pPr>
              <w:spacing w:after="0"/>
              <w:rPr>
                <w:sz w:val="18"/>
                <w:szCs w:val="18"/>
                <w:color w:val="auto"/>
              </w:rPr>
            </w:pPr>
          </w:p>
        </w:tc>
        <w:tc>
          <w:tcPr>
            <w:tcW w:w="940" w:type="dxa"/>
            <w:vAlign w:val="bottom"/>
            <w:tcBorders>
              <w:bottom w:val="single" w:sz="8" w:color="002F4D"/>
            </w:tcBorders>
          </w:tcPr>
          <w:p>
            <w:pPr>
              <w:spacing w:after="0"/>
              <w:rPr>
                <w:sz w:val="18"/>
                <w:szCs w:val="18"/>
                <w:color w:val="auto"/>
              </w:rPr>
            </w:pPr>
          </w:p>
        </w:tc>
      </w:tr>
    </w:tbl>
    <w:p>
      <w:pPr>
        <w:spacing w:after="0" w:line="56" w:lineRule="exact"/>
        <w:rPr>
          <w:sz w:val="20"/>
          <w:szCs w:val="20"/>
          <w:color w:val="auto"/>
        </w:rPr>
      </w:pPr>
    </w:p>
    <w:p>
      <w:pPr>
        <w:ind w:left="300" w:hanging="299"/>
        <w:spacing w:after="0"/>
        <w:tabs>
          <w:tab w:leader="none" w:pos="3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Indicates beneficial ownership of less than 1%.</w:t>
      </w:r>
    </w:p>
    <w:p>
      <w:pPr>
        <w:spacing w:after="0" w:line="52" w:lineRule="exact"/>
        <w:rPr>
          <w:sz w:val="20"/>
          <w:szCs w:val="20"/>
          <w:color w:val="auto"/>
        </w:rPr>
      </w:pPr>
    </w:p>
    <w:p>
      <w:pPr>
        <w:ind w:left="300" w:hanging="299"/>
        <w:spacing w:after="0"/>
        <w:tabs>
          <w:tab w:leader="none" w:pos="3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Includes 20,000 shares held by Mr. FitzGerald’s spouse as trustee, 56,250 shares held by Mr. FitzGerald as trustee, and 25,200 shares held by Mr. FitzGerald’s spouse and children.</w:t>
      </w:r>
    </w:p>
    <w:p>
      <w:pPr>
        <w:spacing w:after="0" w:line="52" w:lineRule="exact"/>
        <w:rPr>
          <w:rFonts w:ascii="Arial" w:cs="Arial" w:eastAsia="Arial" w:hAnsi="Arial"/>
          <w:sz w:val="13"/>
          <w:szCs w:val="13"/>
          <w:color w:val="auto"/>
        </w:rPr>
      </w:pPr>
    </w:p>
    <w:p>
      <w:pPr>
        <w:jc w:val="both"/>
        <w:ind w:left="300" w:hanging="299"/>
        <w:spacing w:after="0" w:line="264" w:lineRule="auto"/>
        <w:tabs>
          <w:tab w:leader="none" w:pos="3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Reflects 3,379,737 shares held directly by GI SPV I. Mr. Garden is the sole member of Garden Investment Management GP, LLC, which serves as the general partner of Garden Investment Management, L.P., which serves as the management company for GI SPV I. Accordingly, Mr. Garden may be deemed to indirectly beneficially own (as that term is defined in Rule 13d-3 under the Exchange Act) the securities beneficially owned by GI SPV I.</w:t>
      </w:r>
    </w:p>
    <w:p>
      <w:pPr>
        <w:spacing w:after="0" w:line="11" w:lineRule="exact"/>
        <w:rPr>
          <w:rFonts w:ascii="Arial" w:cs="Arial" w:eastAsia="Arial" w:hAnsi="Arial"/>
          <w:sz w:val="13"/>
          <w:szCs w:val="13"/>
          <w:color w:val="auto"/>
        </w:rPr>
      </w:pPr>
    </w:p>
    <w:p>
      <w:pPr>
        <w:ind w:left="300" w:hanging="299"/>
        <w:spacing w:after="0" w:line="283" w:lineRule="auto"/>
        <w:tabs>
          <w:tab w:leader="none" w:pos="3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Based on a Schedule 13G/A filed with the SEC on February 17, 2026 by T. Rowe Price Associates, Inc., T. Rowe Price Associates, Inc. beneficially owns 5,772,273 shares and has (a) sole voting power with respect to 5,465,643 shares and (b) sole dispositive power with respect to 5,772,249 shares.</w:t>
      </w:r>
    </w:p>
    <w:p>
      <w:pPr>
        <w:ind w:left="300" w:hanging="299"/>
        <w:spacing w:after="0" w:line="283" w:lineRule="auto"/>
        <w:tabs>
          <w:tab w:leader="none" w:pos="3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Based on a Schedule 13G/A filed with the SEC on January 25, 2024, by BlackRock, Inc., Blackrock, Inc. beneficially owns 4,457,976 shares and has (a) sole voting power with respect to 4,348,606 shares and (b) sole dispositive power with respect to 4,457,976 shares.</w:t>
      </w:r>
    </w:p>
    <w:p>
      <w:pPr>
        <w:ind w:left="300" w:hanging="299"/>
        <w:spacing w:after="0" w:line="285" w:lineRule="auto"/>
        <w:tabs>
          <w:tab w:leader="none" w:pos="3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Based on a Schedule 13G/A filed with the SEC on February 17, 2026, by Select Equity Group, L.P. beneficially owns 3,028,089 shares and has (a) shared voting power with respect to 3,028,289 shares and (b) shared dispositive power with respect to 3,028,289 shares.</w:t>
      </w:r>
    </w:p>
    <w:p>
      <w:pPr>
        <w:spacing w:after="0" w:line="120" w:lineRule="exact"/>
        <w:rPr>
          <w:sz w:val="20"/>
          <w:szCs w:val="20"/>
          <w:color w:val="auto"/>
        </w:rPr>
      </w:pPr>
    </w:p>
    <w:p>
      <w:pPr>
        <w:ind w:left="8960"/>
        <w:spacing w:after="0"/>
        <w:tabs>
          <w:tab w:leader="none" w:pos="1106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55" w:name="page56"/>
    <w:bookmarkEnd w:id="55"/>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5"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Equity Compensation Plan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information with respect to securities authorized for issuance under our equity compensation plans as of January 3, 2026.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7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40" w:type="dxa"/>
            <w:vAlign w:val="bottom"/>
          </w:tcPr>
          <w:p>
            <w:pPr>
              <w:jc w:val="right"/>
              <w:ind w:right="204"/>
              <w:spacing w:after="0"/>
              <w:rPr>
                <w:sz w:val="20"/>
                <w:szCs w:val="20"/>
                <w:color w:val="auto"/>
              </w:rPr>
            </w:pPr>
            <w:r>
              <w:rPr>
                <w:rFonts w:ascii="Arial" w:cs="Arial" w:eastAsia="Arial" w:hAnsi="Arial"/>
                <w:sz w:val="15"/>
                <w:szCs w:val="15"/>
                <w:b w:val="1"/>
                <w:bCs w:val="1"/>
                <w:color w:val="00304D"/>
              </w:rPr>
              <w:t>Number of securities</w:t>
            </w:r>
          </w:p>
        </w:tc>
      </w:tr>
      <w:tr>
        <w:trPr>
          <w:trHeight w:val="177"/>
        </w:trPr>
        <w:tc>
          <w:tcPr>
            <w:tcW w:w="47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40" w:type="dxa"/>
            <w:vAlign w:val="bottom"/>
          </w:tcPr>
          <w:p>
            <w:pPr>
              <w:jc w:val="right"/>
              <w:ind w:right="204"/>
              <w:spacing w:after="0"/>
              <w:rPr>
                <w:sz w:val="20"/>
                <w:szCs w:val="20"/>
                <w:color w:val="auto"/>
              </w:rPr>
            </w:pPr>
            <w:r>
              <w:rPr>
                <w:rFonts w:ascii="Arial" w:cs="Arial" w:eastAsia="Arial" w:hAnsi="Arial"/>
                <w:sz w:val="15"/>
                <w:szCs w:val="15"/>
                <w:b w:val="1"/>
                <w:bCs w:val="1"/>
                <w:color w:val="00304D"/>
              </w:rPr>
              <w:t>remaining available for</w:t>
            </w:r>
          </w:p>
        </w:tc>
      </w:tr>
      <w:tr>
        <w:trPr>
          <w:trHeight w:val="177"/>
        </w:trPr>
        <w:tc>
          <w:tcPr>
            <w:tcW w:w="47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40" w:type="dxa"/>
            <w:vAlign w:val="bottom"/>
          </w:tcPr>
          <w:p>
            <w:pPr>
              <w:jc w:val="right"/>
              <w:ind w:right="204"/>
              <w:spacing w:after="0"/>
              <w:rPr>
                <w:sz w:val="20"/>
                <w:szCs w:val="20"/>
                <w:color w:val="auto"/>
              </w:rPr>
            </w:pPr>
            <w:r>
              <w:rPr>
                <w:rFonts w:ascii="Arial" w:cs="Arial" w:eastAsia="Arial" w:hAnsi="Arial"/>
                <w:sz w:val="15"/>
                <w:szCs w:val="15"/>
                <w:b w:val="1"/>
                <w:bCs w:val="1"/>
                <w:color w:val="00304D"/>
              </w:rPr>
              <w:t>future issuance under</w:t>
            </w:r>
          </w:p>
        </w:tc>
      </w:tr>
      <w:tr>
        <w:trPr>
          <w:trHeight w:val="177"/>
        </w:trPr>
        <w:tc>
          <w:tcPr>
            <w:tcW w:w="4780" w:type="dxa"/>
            <w:vAlign w:val="bottom"/>
          </w:tcPr>
          <w:p>
            <w:pPr>
              <w:spacing w:after="0"/>
              <w:rPr>
                <w:sz w:val="15"/>
                <w:szCs w:val="15"/>
                <w:color w:val="auto"/>
              </w:rPr>
            </w:pPr>
          </w:p>
        </w:tc>
        <w:tc>
          <w:tcPr>
            <w:tcW w:w="2520" w:type="dxa"/>
            <w:vAlign w:val="bottom"/>
          </w:tcPr>
          <w:p>
            <w:pPr>
              <w:jc w:val="right"/>
              <w:ind w:right="244"/>
              <w:spacing w:after="0"/>
              <w:rPr>
                <w:sz w:val="20"/>
                <w:szCs w:val="20"/>
                <w:color w:val="auto"/>
              </w:rPr>
            </w:pPr>
            <w:r>
              <w:rPr>
                <w:rFonts w:ascii="Arial" w:cs="Arial" w:eastAsia="Arial" w:hAnsi="Arial"/>
                <w:sz w:val="15"/>
                <w:szCs w:val="15"/>
                <w:b w:val="1"/>
                <w:bCs w:val="1"/>
                <w:color w:val="00304D"/>
              </w:rPr>
              <w:t>Number of securities</w:t>
            </w: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40" w:type="dxa"/>
            <w:vAlign w:val="bottom"/>
          </w:tcPr>
          <w:p>
            <w:pPr>
              <w:jc w:val="right"/>
              <w:ind w:right="204"/>
              <w:spacing w:after="0"/>
              <w:rPr>
                <w:sz w:val="20"/>
                <w:szCs w:val="20"/>
                <w:color w:val="auto"/>
              </w:rPr>
            </w:pPr>
            <w:r>
              <w:rPr>
                <w:rFonts w:ascii="Arial" w:cs="Arial" w:eastAsia="Arial" w:hAnsi="Arial"/>
                <w:sz w:val="15"/>
                <w:szCs w:val="15"/>
                <w:b w:val="1"/>
                <w:bCs w:val="1"/>
                <w:color w:val="00304D"/>
              </w:rPr>
              <w:t>equity compensation</w:t>
            </w:r>
          </w:p>
        </w:tc>
      </w:tr>
      <w:tr>
        <w:trPr>
          <w:trHeight w:val="177"/>
        </w:trPr>
        <w:tc>
          <w:tcPr>
            <w:tcW w:w="4780" w:type="dxa"/>
            <w:vAlign w:val="bottom"/>
          </w:tcPr>
          <w:p>
            <w:pPr>
              <w:spacing w:after="0"/>
              <w:rPr>
                <w:sz w:val="15"/>
                <w:szCs w:val="15"/>
                <w:color w:val="auto"/>
              </w:rPr>
            </w:pPr>
          </w:p>
        </w:tc>
        <w:tc>
          <w:tcPr>
            <w:tcW w:w="2520" w:type="dxa"/>
            <w:vAlign w:val="bottom"/>
          </w:tcPr>
          <w:p>
            <w:pPr>
              <w:jc w:val="right"/>
              <w:ind w:right="184"/>
              <w:spacing w:after="0"/>
              <w:rPr>
                <w:sz w:val="20"/>
                <w:szCs w:val="20"/>
                <w:color w:val="auto"/>
              </w:rPr>
            </w:pPr>
            <w:r>
              <w:rPr>
                <w:rFonts w:ascii="Arial" w:cs="Arial" w:eastAsia="Arial" w:hAnsi="Arial"/>
                <w:sz w:val="15"/>
                <w:szCs w:val="15"/>
                <w:b w:val="1"/>
                <w:bCs w:val="1"/>
                <w:color w:val="00304D"/>
              </w:rPr>
              <w:t>to be issued upon exercise</w:t>
            </w:r>
          </w:p>
        </w:tc>
        <w:tc>
          <w:tcPr>
            <w:tcW w:w="240" w:type="dxa"/>
            <w:vAlign w:val="bottom"/>
          </w:tcPr>
          <w:p>
            <w:pPr>
              <w:spacing w:after="0"/>
              <w:rPr>
                <w:sz w:val="15"/>
                <w:szCs w:val="15"/>
                <w:color w:val="auto"/>
              </w:rPr>
            </w:pPr>
          </w:p>
        </w:tc>
        <w:tc>
          <w:tcPr>
            <w:tcW w:w="1660" w:type="dxa"/>
            <w:vAlign w:val="bottom"/>
          </w:tcPr>
          <w:p>
            <w:pPr>
              <w:jc w:val="right"/>
              <w:ind w:right="247"/>
              <w:spacing w:after="0"/>
              <w:rPr>
                <w:sz w:val="20"/>
                <w:szCs w:val="20"/>
                <w:color w:val="auto"/>
              </w:rPr>
            </w:pPr>
            <w:r>
              <w:rPr>
                <w:rFonts w:ascii="Arial" w:cs="Arial" w:eastAsia="Arial" w:hAnsi="Arial"/>
                <w:sz w:val="15"/>
                <w:szCs w:val="15"/>
                <w:b w:val="1"/>
                <w:bCs w:val="1"/>
                <w:color w:val="00304D"/>
              </w:rPr>
              <w:t>Weighted average</w:t>
            </w:r>
          </w:p>
        </w:tc>
        <w:tc>
          <w:tcPr>
            <w:tcW w:w="2040" w:type="dxa"/>
            <w:vAlign w:val="bottom"/>
          </w:tcPr>
          <w:p>
            <w:pPr>
              <w:jc w:val="right"/>
              <w:ind w:right="204"/>
              <w:spacing w:after="0"/>
              <w:rPr>
                <w:sz w:val="20"/>
                <w:szCs w:val="20"/>
                <w:color w:val="auto"/>
              </w:rPr>
            </w:pPr>
            <w:r>
              <w:rPr>
                <w:rFonts w:ascii="Arial" w:cs="Arial" w:eastAsia="Arial" w:hAnsi="Arial"/>
                <w:sz w:val="15"/>
                <w:szCs w:val="15"/>
                <w:b w:val="1"/>
                <w:bCs w:val="1"/>
                <w:color w:val="00304D"/>
              </w:rPr>
              <w:t>plans</w:t>
            </w:r>
          </w:p>
        </w:tc>
      </w:tr>
      <w:tr>
        <w:trPr>
          <w:trHeight w:val="177"/>
        </w:trPr>
        <w:tc>
          <w:tcPr>
            <w:tcW w:w="4780" w:type="dxa"/>
            <w:vAlign w:val="bottom"/>
          </w:tcPr>
          <w:p>
            <w:pPr>
              <w:spacing w:after="0"/>
              <w:rPr>
                <w:sz w:val="15"/>
                <w:szCs w:val="15"/>
                <w:color w:val="auto"/>
              </w:rPr>
            </w:pPr>
          </w:p>
        </w:tc>
        <w:tc>
          <w:tcPr>
            <w:tcW w:w="2520" w:type="dxa"/>
            <w:vAlign w:val="bottom"/>
          </w:tcPr>
          <w:p>
            <w:pPr>
              <w:jc w:val="right"/>
              <w:ind w:right="244"/>
              <w:spacing w:after="0"/>
              <w:rPr>
                <w:sz w:val="20"/>
                <w:szCs w:val="20"/>
                <w:color w:val="auto"/>
              </w:rPr>
            </w:pPr>
            <w:r>
              <w:rPr>
                <w:rFonts w:ascii="Arial" w:cs="Arial" w:eastAsia="Arial" w:hAnsi="Arial"/>
                <w:sz w:val="15"/>
                <w:szCs w:val="15"/>
                <w:b w:val="1"/>
                <w:bCs w:val="1"/>
                <w:color w:val="00304D"/>
              </w:rPr>
              <w:t>of outstanding options,</w:t>
            </w:r>
          </w:p>
        </w:tc>
        <w:tc>
          <w:tcPr>
            <w:tcW w:w="240" w:type="dxa"/>
            <w:vAlign w:val="bottom"/>
          </w:tcPr>
          <w:p>
            <w:pPr>
              <w:spacing w:after="0"/>
              <w:rPr>
                <w:sz w:val="15"/>
                <w:szCs w:val="15"/>
                <w:color w:val="auto"/>
              </w:rPr>
            </w:pPr>
          </w:p>
        </w:tc>
        <w:tc>
          <w:tcPr>
            <w:tcW w:w="1660" w:type="dxa"/>
            <w:vAlign w:val="bottom"/>
          </w:tcPr>
          <w:p>
            <w:pPr>
              <w:jc w:val="right"/>
              <w:ind w:right="247"/>
              <w:spacing w:after="0"/>
              <w:rPr>
                <w:sz w:val="20"/>
                <w:szCs w:val="20"/>
                <w:color w:val="auto"/>
              </w:rPr>
            </w:pPr>
            <w:r>
              <w:rPr>
                <w:rFonts w:ascii="Arial" w:cs="Arial" w:eastAsia="Arial" w:hAnsi="Arial"/>
                <w:sz w:val="15"/>
                <w:szCs w:val="15"/>
                <w:b w:val="1"/>
                <w:bCs w:val="1"/>
                <w:color w:val="00304D"/>
              </w:rPr>
              <w:t>exercise price of</w:t>
            </w:r>
          </w:p>
        </w:tc>
        <w:tc>
          <w:tcPr>
            <w:tcW w:w="2040" w:type="dxa"/>
            <w:vAlign w:val="bottom"/>
          </w:tcPr>
          <w:p>
            <w:pPr>
              <w:jc w:val="right"/>
              <w:ind w:right="204"/>
              <w:spacing w:after="0"/>
              <w:rPr>
                <w:sz w:val="20"/>
                <w:szCs w:val="20"/>
                <w:color w:val="auto"/>
              </w:rPr>
            </w:pPr>
            <w:r>
              <w:rPr>
                <w:rFonts w:ascii="Arial" w:cs="Arial" w:eastAsia="Arial" w:hAnsi="Arial"/>
                <w:sz w:val="15"/>
                <w:szCs w:val="15"/>
                <w:b w:val="1"/>
                <w:bCs w:val="1"/>
                <w:color w:val="00304D"/>
              </w:rPr>
              <w:t>(excluding securities</w:t>
            </w:r>
          </w:p>
        </w:tc>
      </w:tr>
      <w:tr>
        <w:trPr>
          <w:trHeight w:val="177"/>
        </w:trPr>
        <w:tc>
          <w:tcPr>
            <w:tcW w:w="4780" w:type="dxa"/>
            <w:vAlign w:val="bottom"/>
          </w:tcPr>
          <w:p>
            <w:pPr>
              <w:spacing w:after="0"/>
              <w:rPr>
                <w:sz w:val="15"/>
                <w:szCs w:val="15"/>
                <w:color w:val="auto"/>
              </w:rPr>
            </w:pPr>
          </w:p>
        </w:tc>
        <w:tc>
          <w:tcPr>
            <w:tcW w:w="2520" w:type="dxa"/>
            <w:vAlign w:val="bottom"/>
          </w:tcPr>
          <w:p>
            <w:pPr>
              <w:jc w:val="right"/>
              <w:ind w:right="244"/>
              <w:spacing w:after="0"/>
              <w:rPr>
                <w:sz w:val="20"/>
                <w:szCs w:val="20"/>
                <w:color w:val="auto"/>
              </w:rPr>
            </w:pPr>
            <w:r>
              <w:rPr>
                <w:rFonts w:ascii="Arial" w:cs="Arial" w:eastAsia="Arial" w:hAnsi="Arial"/>
                <w:sz w:val="15"/>
                <w:szCs w:val="15"/>
                <w:b w:val="1"/>
                <w:bCs w:val="1"/>
                <w:color w:val="00304D"/>
              </w:rPr>
              <w:t>warrants</w:t>
            </w:r>
          </w:p>
        </w:tc>
        <w:tc>
          <w:tcPr>
            <w:tcW w:w="1900" w:type="dxa"/>
            <w:vAlign w:val="bottom"/>
            <w:gridSpan w:val="2"/>
          </w:tcPr>
          <w:p>
            <w:pPr>
              <w:jc w:val="right"/>
              <w:ind w:right="207"/>
              <w:spacing w:after="0"/>
              <w:rPr>
                <w:sz w:val="20"/>
                <w:szCs w:val="20"/>
                <w:color w:val="auto"/>
              </w:rPr>
            </w:pPr>
            <w:r>
              <w:rPr>
                <w:rFonts w:ascii="Arial" w:cs="Arial" w:eastAsia="Arial" w:hAnsi="Arial"/>
                <w:sz w:val="15"/>
                <w:szCs w:val="15"/>
                <w:b w:val="1"/>
                <w:bCs w:val="1"/>
                <w:color w:val="00304D"/>
              </w:rPr>
              <w:t>outstanding options,</w:t>
            </w:r>
          </w:p>
        </w:tc>
        <w:tc>
          <w:tcPr>
            <w:tcW w:w="2040" w:type="dxa"/>
            <w:vAlign w:val="bottom"/>
          </w:tcPr>
          <w:p>
            <w:pPr>
              <w:jc w:val="right"/>
              <w:ind w:right="204"/>
              <w:spacing w:after="0"/>
              <w:rPr>
                <w:sz w:val="20"/>
                <w:szCs w:val="20"/>
                <w:color w:val="auto"/>
              </w:rPr>
            </w:pPr>
            <w:r>
              <w:rPr>
                <w:rFonts w:ascii="Arial" w:cs="Arial" w:eastAsia="Arial" w:hAnsi="Arial"/>
                <w:sz w:val="15"/>
                <w:szCs w:val="15"/>
                <w:b w:val="1"/>
                <w:bCs w:val="1"/>
                <w:color w:val="00304D"/>
              </w:rPr>
              <w:t>reflected in the first</w:t>
            </w:r>
          </w:p>
        </w:tc>
      </w:tr>
      <w:tr>
        <w:trPr>
          <w:trHeight w:val="177"/>
        </w:trPr>
        <w:tc>
          <w:tcPr>
            <w:tcW w:w="4780" w:type="dxa"/>
            <w:vAlign w:val="bottom"/>
          </w:tcPr>
          <w:p>
            <w:pPr>
              <w:spacing w:after="0"/>
              <w:rPr>
                <w:sz w:val="15"/>
                <w:szCs w:val="15"/>
                <w:color w:val="auto"/>
              </w:rPr>
            </w:pPr>
          </w:p>
        </w:tc>
        <w:tc>
          <w:tcPr>
            <w:tcW w:w="2520" w:type="dxa"/>
            <w:vAlign w:val="bottom"/>
          </w:tcPr>
          <w:p>
            <w:pPr>
              <w:jc w:val="right"/>
              <w:ind w:right="244"/>
              <w:spacing w:after="0"/>
              <w:rPr>
                <w:sz w:val="20"/>
                <w:szCs w:val="20"/>
                <w:color w:val="auto"/>
              </w:rPr>
            </w:pPr>
            <w:r>
              <w:rPr>
                <w:rFonts w:ascii="Arial" w:cs="Arial" w:eastAsia="Arial" w:hAnsi="Arial"/>
                <w:sz w:val="15"/>
                <w:szCs w:val="15"/>
                <w:b w:val="1"/>
                <w:bCs w:val="1"/>
                <w:color w:val="00304D"/>
              </w:rPr>
              <w:t>and rights</w:t>
            </w:r>
          </w:p>
        </w:tc>
        <w:tc>
          <w:tcPr>
            <w:tcW w:w="1900" w:type="dxa"/>
            <w:vAlign w:val="bottom"/>
            <w:gridSpan w:val="2"/>
          </w:tcPr>
          <w:p>
            <w:pPr>
              <w:jc w:val="right"/>
              <w:ind w:right="247"/>
              <w:spacing w:after="0"/>
              <w:rPr>
                <w:sz w:val="20"/>
                <w:szCs w:val="20"/>
                <w:color w:val="auto"/>
              </w:rPr>
            </w:pPr>
            <w:r>
              <w:rPr>
                <w:rFonts w:ascii="Arial" w:cs="Arial" w:eastAsia="Arial" w:hAnsi="Arial"/>
                <w:sz w:val="15"/>
                <w:szCs w:val="15"/>
                <w:b w:val="1"/>
                <w:bCs w:val="1"/>
                <w:color w:val="00304D"/>
              </w:rPr>
              <w:t>warrants and rights</w:t>
            </w:r>
          </w:p>
        </w:tc>
        <w:tc>
          <w:tcPr>
            <w:tcW w:w="2040" w:type="dxa"/>
            <w:vAlign w:val="bottom"/>
          </w:tcPr>
          <w:p>
            <w:pPr>
              <w:jc w:val="right"/>
              <w:ind w:right="204"/>
              <w:spacing w:after="0"/>
              <w:rPr>
                <w:sz w:val="20"/>
                <w:szCs w:val="20"/>
                <w:color w:val="auto"/>
              </w:rPr>
            </w:pPr>
            <w:r>
              <w:rPr>
                <w:rFonts w:ascii="Arial" w:cs="Arial" w:eastAsia="Arial" w:hAnsi="Arial"/>
                <w:sz w:val="15"/>
                <w:szCs w:val="15"/>
                <w:b w:val="1"/>
                <w:bCs w:val="1"/>
                <w:color w:val="00304D"/>
              </w:rPr>
              <w:t>column)</w:t>
            </w:r>
          </w:p>
        </w:tc>
      </w:tr>
      <w:tr>
        <w:trPr>
          <w:trHeight w:val="189"/>
        </w:trPr>
        <w:tc>
          <w:tcPr>
            <w:tcW w:w="478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00304D"/>
              </w:rPr>
              <w:t>Plan category</w:t>
            </w:r>
          </w:p>
        </w:tc>
        <w:tc>
          <w:tcPr>
            <w:tcW w:w="2520" w:type="dxa"/>
            <w:vAlign w:val="bottom"/>
            <w:tcBorders>
              <w:bottom w:val="single" w:sz="8" w:color="002F4D"/>
            </w:tcBorders>
          </w:tcPr>
          <w:p>
            <w:pPr>
              <w:jc w:val="right"/>
              <w:ind w:right="184"/>
              <w:spacing w:after="0"/>
              <w:rPr>
                <w:sz w:val="20"/>
                <w:szCs w:val="20"/>
                <w:color w:val="auto"/>
              </w:rPr>
            </w:pPr>
            <w:r>
              <w:rPr>
                <w:rFonts w:ascii="Arial" w:cs="Arial" w:eastAsia="Arial" w:hAnsi="Arial"/>
                <w:sz w:val="15"/>
                <w:szCs w:val="15"/>
                <w:b w:val="1"/>
                <w:bCs w:val="1"/>
                <w:color w:val="00304D"/>
              </w:rPr>
              <w:t>(a) (#)</w:t>
            </w:r>
          </w:p>
        </w:tc>
        <w:tc>
          <w:tcPr>
            <w:tcW w:w="240" w:type="dxa"/>
            <w:vAlign w:val="bottom"/>
            <w:tcBorders>
              <w:bottom w:val="single" w:sz="8" w:color="002F4D"/>
            </w:tcBorders>
          </w:tcPr>
          <w:p>
            <w:pPr>
              <w:spacing w:after="0"/>
              <w:rPr>
                <w:sz w:val="16"/>
                <w:szCs w:val="16"/>
                <w:color w:val="auto"/>
              </w:rPr>
            </w:pPr>
          </w:p>
        </w:tc>
        <w:tc>
          <w:tcPr>
            <w:tcW w:w="1660" w:type="dxa"/>
            <w:vAlign w:val="bottom"/>
            <w:tcBorders>
              <w:bottom w:val="single" w:sz="8" w:color="002F4D"/>
            </w:tcBorders>
          </w:tcPr>
          <w:p>
            <w:pPr>
              <w:jc w:val="right"/>
              <w:ind w:right="207"/>
              <w:spacing w:after="0"/>
              <w:rPr>
                <w:sz w:val="20"/>
                <w:szCs w:val="20"/>
                <w:color w:val="auto"/>
              </w:rPr>
            </w:pPr>
            <w:r>
              <w:rPr>
                <w:rFonts w:ascii="Arial" w:cs="Arial" w:eastAsia="Arial" w:hAnsi="Arial"/>
                <w:sz w:val="15"/>
                <w:szCs w:val="15"/>
                <w:b w:val="1"/>
                <w:bCs w:val="1"/>
                <w:color w:val="00304D"/>
              </w:rPr>
              <w:t>(b)</w:t>
            </w:r>
          </w:p>
        </w:tc>
        <w:tc>
          <w:tcPr>
            <w:tcW w:w="2040" w:type="dxa"/>
            <w:vAlign w:val="bottom"/>
            <w:tcBorders>
              <w:bottom w:val="single" w:sz="8" w:color="002F4D"/>
            </w:tcBorders>
          </w:tcPr>
          <w:p>
            <w:pPr>
              <w:jc w:val="right"/>
              <w:ind w:right="164"/>
              <w:spacing w:after="0"/>
              <w:rPr>
                <w:sz w:val="20"/>
                <w:szCs w:val="20"/>
                <w:color w:val="auto"/>
              </w:rPr>
            </w:pPr>
            <w:r>
              <w:rPr>
                <w:rFonts w:ascii="Arial" w:cs="Arial" w:eastAsia="Arial" w:hAnsi="Arial"/>
                <w:sz w:val="15"/>
                <w:szCs w:val="15"/>
                <w:b w:val="1"/>
                <w:bCs w:val="1"/>
                <w:color w:val="00304D"/>
              </w:rPr>
              <w:t>(c)</w:t>
            </w:r>
          </w:p>
        </w:tc>
      </w:tr>
      <w:tr>
        <w:trPr>
          <w:trHeight w:val="220"/>
        </w:trPr>
        <w:tc>
          <w:tcPr>
            <w:tcW w:w="478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auto"/>
              </w:rPr>
              <w:t>Equity compensation plans approved by security holders</w:t>
            </w:r>
          </w:p>
        </w:tc>
        <w:tc>
          <w:tcPr>
            <w:tcW w:w="2520" w:type="dxa"/>
            <w:vAlign w:val="bottom"/>
            <w:tcBorders>
              <w:bottom w:val="single" w:sz="8" w:color="002F4D"/>
            </w:tcBorders>
          </w:tcPr>
          <w:p>
            <w:pPr>
              <w:jc w:val="right"/>
              <w:ind w:right="44"/>
              <w:spacing w:after="0" w:line="220" w:lineRule="exact"/>
              <w:rPr>
                <w:sz w:val="20"/>
                <w:szCs w:val="20"/>
                <w:color w:val="auto"/>
              </w:rPr>
            </w:pPr>
            <w:r>
              <w:rPr>
                <w:rFonts w:ascii="Arial" w:cs="Arial" w:eastAsia="Arial" w:hAnsi="Arial"/>
                <w:sz w:val="15"/>
                <w:szCs w:val="15"/>
                <w:color w:val="auto"/>
              </w:rPr>
              <w:t>1,394,084</w:t>
            </w:r>
            <w:r>
              <w:rPr>
                <w:rFonts w:ascii="Arial" w:cs="Arial" w:eastAsia="Arial" w:hAnsi="Arial"/>
                <w:sz w:val="25"/>
                <w:szCs w:val="25"/>
                <w:color w:val="auto"/>
                <w:vertAlign w:val="superscript"/>
              </w:rPr>
              <w:t>(1)</w:t>
            </w:r>
          </w:p>
        </w:tc>
        <w:tc>
          <w:tcPr>
            <w:tcW w:w="2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w:t>
            </w:r>
          </w:p>
        </w:tc>
        <w:tc>
          <w:tcPr>
            <w:tcW w:w="1660" w:type="dxa"/>
            <w:vAlign w:val="bottom"/>
            <w:tcBorders>
              <w:bottom w:val="single" w:sz="8" w:color="002F4D"/>
            </w:tcBorders>
          </w:tcPr>
          <w:p>
            <w:pPr>
              <w:ind w:left="1240"/>
              <w:spacing w:after="0" w:line="22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1"/>
                <w:szCs w:val="11"/>
                <w:color w:val="auto"/>
              </w:rPr>
              <w:t>(2)</w:t>
            </w:r>
          </w:p>
        </w:tc>
        <w:tc>
          <w:tcPr>
            <w:tcW w:w="2040" w:type="dxa"/>
            <w:vAlign w:val="bottom"/>
            <w:tcBorders>
              <w:bottom w:val="single" w:sz="8" w:color="002F4D"/>
            </w:tcBorders>
          </w:tcPr>
          <w:p>
            <w:pPr>
              <w:jc w:val="right"/>
              <w:ind w:right="24"/>
              <w:spacing w:after="0" w:line="220" w:lineRule="exact"/>
              <w:rPr>
                <w:sz w:val="20"/>
                <w:szCs w:val="20"/>
                <w:color w:val="auto"/>
              </w:rPr>
            </w:pPr>
            <w:r>
              <w:rPr>
                <w:rFonts w:ascii="Arial" w:cs="Arial" w:eastAsia="Arial" w:hAnsi="Arial"/>
                <w:sz w:val="15"/>
                <w:szCs w:val="15"/>
                <w:color w:val="auto"/>
              </w:rPr>
              <w:t>292,453</w:t>
            </w:r>
            <w:r>
              <w:rPr>
                <w:rFonts w:ascii="Arial" w:cs="Arial" w:eastAsia="Arial" w:hAnsi="Arial"/>
                <w:sz w:val="25"/>
                <w:szCs w:val="25"/>
                <w:color w:val="auto"/>
                <w:vertAlign w:val="superscript"/>
              </w:rPr>
              <w:t>(3)</w:t>
            </w:r>
          </w:p>
        </w:tc>
      </w:tr>
      <w:tr>
        <w:trPr>
          <w:trHeight w:val="182"/>
        </w:trPr>
        <w:tc>
          <w:tcPr>
            <w:tcW w:w="478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auto"/>
              </w:rPr>
              <w:t>Equity compensation plans not approved by security holders</w:t>
            </w:r>
          </w:p>
        </w:tc>
        <w:tc>
          <w:tcPr>
            <w:tcW w:w="2520" w:type="dxa"/>
            <w:vAlign w:val="bottom"/>
            <w:tcBorders>
              <w:bottom w:val="single" w:sz="8" w:color="002F4D"/>
            </w:tcBorders>
          </w:tcPr>
          <w:p>
            <w:pPr>
              <w:jc w:val="right"/>
              <w:ind w:right="18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002F4D"/>
            </w:tcBorders>
          </w:tcPr>
          <w:p>
            <w:pPr>
              <w:spacing w:after="0"/>
              <w:rPr>
                <w:sz w:val="15"/>
                <w:szCs w:val="15"/>
                <w:color w:val="auto"/>
              </w:rPr>
            </w:pPr>
          </w:p>
        </w:tc>
        <w:tc>
          <w:tcPr>
            <w:tcW w:w="1660" w:type="dxa"/>
            <w:vAlign w:val="bottom"/>
            <w:tcBorders>
              <w:bottom w:val="single" w:sz="8" w:color="002F4D"/>
            </w:tcBorders>
          </w:tcPr>
          <w:p>
            <w:pPr>
              <w:ind w:left="1240"/>
              <w:spacing w:after="0"/>
              <w:rPr>
                <w:sz w:val="20"/>
                <w:szCs w:val="20"/>
                <w:color w:val="auto"/>
              </w:rPr>
            </w:pPr>
            <w:r>
              <w:rPr>
                <w:rFonts w:ascii="Arial" w:cs="Arial" w:eastAsia="Arial" w:hAnsi="Arial"/>
                <w:sz w:val="15"/>
                <w:szCs w:val="15"/>
                <w:color w:val="auto"/>
              </w:rPr>
              <w:t>—</w:t>
            </w:r>
          </w:p>
        </w:tc>
        <w:tc>
          <w:tcPr>
            <w:tcW w:w="2040" w:type="dxa"/>
            <w:vAlign w:val="bottom"/>
            <w:tcBorders>
              <w:bottom w:val="single" w:sz="8" w:color="002F4D"/>
            </w:tcBorders>
          </w:tcPr>
          <w:p>
            <w:pPr>
              <w:jc w:val="right"/>
              <w:ind w:right="164"/>
              <w:spacing w:after="0"/>
              <w:rPr>
                <w:sz w:val="20"/>
                <w:szCs w:val="20"/>
                <w:color w:val="auto"/>
              </w:rPr>
            </w:pPr>
            <w:r>
              <w:rPr>
                <w:rFonts w:ascii="Arial" w:cs="Arial" w:eastAsia="Arial" w:hAnsi="Arial"/>
                <w:sz w:val="15"/>
                <w:szCs w:val="15"/>
                <w:color w:val="auto"/>
              </w:rPr>
              <w:t>—</w:t>
            </w:r>
          </w:p>
        </w:tc>
      </w:tr>
      <w:tr>
        <w:trPr>
          <w:trHeight w:val="187"/>
        </w:trPr>
        <w:tc>
          <w:tcPr>
            <w:tcW w:w="4780" w:type="dxa"/>
            <w:vAlign w:val="bottom"/>
            <w:tcBorders>
              <w:bottom w:val="single" w:sz="8" w:color="002F4D"/>
            </w:tcBorders>
            <w:shd w:val="clear" w:color="auto" w:fill="E5ECF1"/>
          </w:tcPr>
          <w:p>
            <w:pPr>
              <w:ind w:left="60"/>
              <w:spacing w:after="0"/>
              <w:rPr>
                <w:sz w:val="20"/>
                <w:szCs w:val="20"/>
                <w:color w:val="auto"/>
              </w:rPr>
            </w:pPr>
            <w:r>
              <w:rPr>
                <w:rFonts w:ascii="Arial" w:cs="Arial" w:eastAsia="Arial" w:hAnsi="Arial"/>
                <w:sz w:val="15"/>
                <w:szCs w:val="15"/>
                <w:b w:val="1"/>
                <w:bCs w:val="1"/>
                <w:color w:val="00304D"/>
              </w:rPr>
              <w:t>Total</w:t>
            </w:r>
          </w:p>
        </w:tc>
        <w:tc>
          <w:tcPr>
            <w:tcW w:w="2520" w:type="dxa"/>
            <w:vAlign w:val="bottom"/>
            <w:tcBorders>
              <w:bottom w:val="single" w:sz="8" w:color="002F4D"/>
            </w:tcBorders>
            <w:shd w:val="clear" w:color="auto" w:fill="E5ECF1"/>
          </w:tcPr>
          <w:p>
            <w:pPr>
              <w:jc w:val="right"/>
              <w:ind w:right="184"/>
              <w:spacing w:after="0"/>
              <w:rPr>
                <w:sz w:val="20"/>
                <w:szCs w:val="20"/>
                <w:color w:val="auto"/>
              </w:rPr>
            </w:pPr>
            <w:r>
              <w:rPr>
                <w:rFonts w:ascii="Arial" w:cs="Arial" w:eastAsia="Arial" w:hAnsi="Arial"/>
                <w:sz w:val="15"/>
                <w:szCs w:val="15"/>
                <w:b w:val="1"/>
                <w:bCs w:val="1"/>
                <w:color w:val="00304D"/>
              </w:rPr>
              <w:t>1,394,084</w:t>
            </w:r>
          </w:p>
        </w:tc>
        <w:tc>
          <w:tcPr>
            <w:tcW w:w="240" w:type="dxa"/>
            <w:vAlign w:val="bottom"/>
            <w:tcBorders>
              <w:bottom w:val="single" w:sz="8" w:color="002F4D"/>
            </w:tcBorders>
            <w:shd w:val="clear" w:color="auto" w:fill="E5ECF1"/>
          </w:tcPr>
          <w:p>
            <w:pPr>
              <w:spacing w:after="0"/>
              <w:rPr>
                <w:sz w:val="16"/>
                <w:szCs w:val="16"/>
                <w:color w:val="auto"/>
              </w:rPr>
            </w:pPr>
          </w:p>
        </w:tc>
        <w:tc>
          <w:tcPr>
            <w:tcW w:w="1660" w:type="dxa"/>
            <w:vAlign w:val="bottom"/>
            <w:tcBorders>
              <w:bottom w:val="single" w:sz="8" w:color="002F4D"/>
            </w:tcBorders>
            <w:shd w:val="clear" w:color="auto" w:fill="E5ECF1"/>
          </w:tcPr>
          <w:p>
            <w:pPr>
              <w:ind w:left="1240"/>
              <w:spacing w:after="0"/>
              <w:rPr>
                <w:sz w:val="20"/>
                <w:szCs w:val="20"/>
                <w:color w:val="auto"/>
              </w:rPr>
            </w:pPr>
            <w:r>
              <w:rPr>
                <w:rFonts w:ascii="Arial" w:cs="Arial" w:eastAsia="Arial" w:hAnsi="Arial"/>
                <w:sz w:val="15"/>
                <w:szCs w:val="15"/>
                <w:b w:val="1"/>
                <w:bCs w:val="1"/>
                <w:color w:val="00304D"/>
              </w:rPr>
              <w:t>—</w:t>
            </w:r>
          </w:p>
        </w:tc>
        <w:tc>
          <w:tcPr>
            <w:tcW w:w="2040" w:type="dxa"/>
            <w:vAlign w:val="bottom"/>
            <w:tcBorders>
              <w:bottom w:val="single" w:sz="8" w:color="002F4D"/>
            </w:tcBorders>
            <w:shd w:val="clear" w:color="auto" w:fill="E5ECF1"/>
          </w:tcPr>
          <w:p>
            <w:pPr>
              <w:jc w:val="right"/>
              <w:ind w:right="164"/>
              <w:spacing w:after="0"/>
              <w:rPr>
                <w:sz w:val="20"/>
                <w:szCs w:val="20"/>
                <w:color w:val="auto"/>
              </w:rPr>
            </w:pPr>
            <w:r>
              <w:rPr>
                <w:rFonts w:ascii="Arial" w:cs="Arial" w:eastAsia="Arial" w:hAnsi="Arial"/>
                <w:sz w:val="15"/>
                <w:szCs w:val="15"/>
                <w:b w:val="1"/>
                <w:bCs w:val="1"/>
                <w:color w:val="00304D"/>
              </w:rPr>
              <w:t>292,453</w:t>
            </w:r>
          </w:p>
        </w:tc>
      </w:tr>
    </w:tbl>
    <w:p>
      <w:pPr>
        <w:spacing w:after="0" w:line="56" w:lineRule="exact"/>
        <w:rPr>
          <w:sz w:val="20"/>
          <w:szCs w:val="20"/>
          <w:color w:val="auto"/>
        </w:rPr>
      </w:pPr>
    </w:p>
    <w:p>
      <w:pPr>
        <w:ind w:left="300" w:hanging="299"/>
        <w:spacing w:after="0" w:line="283" w:lineRule="auto"/>
        <w:tabs>
          <w:tab w:leader="none" w:pos="3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Indicates the number of RSUs and PSUs that were outstanding under the LTIP as of January 3, 2026. The PSUs have been calculated based on the maximum outcome of the applicable performance conditions, including maximum TSR modifier.</w:t>
      </w:r>
    </w:p>
    <w:p>
      <w:pPr>
        <w:ind w:left="300" w:hanging="299"/>
        <w:spacing w:after="0"/>
        <w:tabs>
          <w:tab w:leader="none" w:pos="3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There is no exercise price associated with the RSUs and PSUs. Accordingly, the weighted average exercise price does not take these awards into account.</w:t>
      </w:r>
    </w:p>
    <w:p>
      <w:pPr>
        <w:spacing w:after="0" w:line="52" w:lineRule="exact"/>
        <w:rPr>
          <w:rFonts w:ascii="Arial" w:cs="Arial" w:eastAsia="Arial" w:hAnsi="Arial"/>
          <w:sz w:val="13"/>
          <w:szCs w:val="13"/>
          <w:color w:val="auto"/>
        </w:rPr>
      </w:pPr>
    </w:p>
    <w:p>
      <w:pPr>
        <w:ind w:left="300" w:hanging="299"/>
        <w:spacing w:after="0"/>
        <w:tabs>
          <w:tab w:leader="none" w:pos="3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Represents shares issuable as of January 3, 2026 under the LTIP, the only equity compensation plan under which shares were available for grant of equity compensation awards.</w:t>
      </w:r>
    </w:p>
    <w:p>
      <w:pPr>
        <w:spacing w:after="0" w:line="174" w:lineRule="exact"/>
        <w:rPr>
          <w:sz w:val="20"/>
          <w:szCs w:val="20"/>
          <w:color w:val="auto"/>
        </w:rPr>
      </w:pPr>
    </w:p>
    <w:p>
      <w:pPr>
        <w:ind w:left="8960"/>
        <w:spacing w:after="0"/>
        <w:tabs>
          <w:tab w:leader="none" w:pos="1106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56" w:name="page57"/>
    <w:bookmarkEnd w:id="56"/>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4" w:lineRule="exact"/>
        <w:rPr>
          <w:sz w:val="20"/>
          <w:szCs w:val="20"/>
          <w:color w:val="auto"/>
        </w:rPr>
      </w:pPr>
    </w:p>
    <w:p>
      <w:pPr>
        <w:spacing w:after="0"/>
        <w:rPr>
          <w:sz w:val="20"/>
          <w:szCs w:val="20"/>
          <w:color w:val="auto"/>
        </w:rPr>
      </w:pPr>
      <w:r>
        <w:rPr>
          <w:rFonts w:ascii="Arial" w:cs="Arial" w:eastAsia="Arial" w:hAnsi="Arial"/>
          <w:sz w:val="27"/>
          <w:szCs w:val="27"/>
          <w:b w:val="1"/>
          <w:bCs w:val="1"/>
          <w:color w:val="265E7C"/>
        </w:rPr>
        <w:t>Proposal No. 3</w:t>
      </w:r>
    </w:p>
    <w:p>
      <w:pPr>
        <w:spacing w:after="0" w:line="35" w:lineRule="exact"/>
        <w:rPr>
          <w:sz w:val="20"/>
          <w:szCs w:val="20"/>
          <w:color w:val="auto"/>
        </w:rPr>
      </w:pPr>
    </w:p>
    <w:p>
      <w:pPr>
        <w:ind w:right="1960"/>
        <w:spacing w:after="0" w:line="264" w:lineRule="auto"/>
        <w:rPr>
          <w:sz w:val="20"/>
          <w:szCs w:val="20"/>
          <w:color w:val="auto"/>
        </w:rPr>
      </w:pPr>
      <w:r>
        <w:rPr>
          <w:rFonts w:ascii="Arial" w:cs="Arial" w:eastAsia="Arial" w:hAnsi="Arial"/>
          <w:sz w:val="34"/>
          <w:szCs w:val="34"/>
          <w:b w:val="1"/>
          <w:bCs w:val="1"/>
          <w:color w:val="00304D"/>
        </w:rPr>
        <w:t>Ratification of Selection of Independent Registered Public Accountants</w:t>
      </w:r>
    </w:p>
    <w:p>
      <w:pPr>
        <w:spacing w:after="0" w:line="30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Ernst &amp; Young LLP served as independent registered public accountants for the Company for the fiscal year ended January 3, 2026. The Audit Committee has selected Ernst &amp; Young LLP to continue to provide audit services for the current fiscal year ending January 2, 2027. Accordingly, the Board recommends that stockholders ratify the selection of Ernst &amp; Young LLP as the Company’s independent registered public accountants for the current fiscal year. Representatives of Ernst &amp; Young LLP are expected to attend the annual meeting, to make a statement if they desire to do so, and to be available to respond to appropriate questions.</w:t>
      </w:r>
    </w:p>
    <w:p>
      <w:pPr>
        <w:spacing w:after="0" w:line="247"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Vote Required for Approval; Board Recommendation</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vote of a majority of votes cast is necessary to approve the proposal to ratify the selection of Ernst &amp; Young LLP as the Company’s independent registered public accountants.</w:t>
      </w:r>
    </w:p>
    <w:p>
      <w:pPr>
        <w:spacing w:after="0" w:line="125" w:lineRule="exact"/>
        <w:rPr>
          <w:sz w:val="20"/>
          <w:szCs w:val="20"/>
          <w:color w:val="auto"/>
        </w:rPr>
      </w:pPr>
    </w:p>
    <w:p>
      <w:pPr>
        <w:ind w:left="300" w:right="640"/>
        <w:spacing w:after="0" w:line="294" w:lineRule="auto"/>
        <w:rPr>
          <w:sz w:val="20"/>
          <w:szCs w:val="20"/>
          <w:color w:val="auto"/>
        </w:rPr>
      </w:pPr>
      <w:r>
        <w:rPr>
          <w:rFonts w:ascii="Arial" w:cs="Arial" w:eastAsia="Arial" w:hAnsi="Arial"/>
          <w:sz w:val="15"/>
          <w:szCs w:val="15"/>
          <w:b w:val="1"/>
          <w:bCs w:val="1"/>
          <w:i w:val="1"/>
          <w:iCs w:val="1"/>
          <w:color w:val="00304D"/>
        </w:rPr>
        <w:t>THE BOARD OF DIRECTORS UNANIMOUSLY RECOMMENDS THAT STOCKHOLDERS VOTE “FOR” THE RATIFICATION OF THE SELECTION OF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-259715</wp:posOffset>
            </wp:positionV>
            <wp:extent cx="160020" cy="1600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60020" cy="160020"/>
                    </a:xfrm>
                    <a:prstGeom prst="rect">
                      <a:avLst/>
                    </a:prstGeom>
                    <a:noFill/>
                  </pic:spPr>
                </pic:pic>
              </a:graphicData>
            </a:graphic>
          </wp:anchor>
        </w:drawing>
      </w:r>
    </w:p>
    <w:p>
      <w:pPr>
        <w:spacing w:after="0" w:line="8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57" w:name="page58"/>
    <w:bookmarkEnd w:id="57"/>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5"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Report of the Audit Committee</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color w:val="auto"/>
        </w:rPr>
        <w:t>The Audit Committee conducts its oversight activities for the Company to fulfill its duties and responsibilities outlined in the Audit Committee charter.</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For the fiscal year ended January 3, 2026, the Audit Committee has reviewed and discussed the audited financial statements and internal controls over financial reporting with management and the Company’s independent registered public accounting firm, Ernst &amp; Young, LLP.</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Audit Committee has discussed with the Company’s independent registered public accounting firm the matters that are required to be discussed by the Public Company Accounting Oversight Board (“PCAOB”) and the SEC. The Audit Committee has also received and reviewed the written disclosures and the letter from the independent registered public accounting firm required by applicable PCAOB rules regarding Ernst &amp; Young’s communication with the Audit Committee concerning independence, and held discussions with Ernst &amp; Young regarding independence.</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Based on the review and discussions outlined above, the Audit Committee recommended to the Board of Directors that the financial statements be included in the Company’s Annual Report on Form 10-K for the year ended January 3, 2026.</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The Middleby Corporation Audit Committee</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Cathy J. McCarthy, Chairperson</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Christopher M. Hix, Tejas P. Shah and</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Stephen R. Scherger</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00304D"/>
        </w:rPr>
        <w:t>Audit Firm Fee Summary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760" w:type="dxa"/>
            <w:vAlign w:val="bottom"/>
            <w:tcBorders>
              <w:bottom w:val="single" w:sz="8" w:color="002F4D"/>
            </w:tcBorders>
          </w:tcPr>
          <w:p>
            <w:pPr>
              <w:spacing w:after="0"/>
              <w:rPr>
                <w:sz w:val="16"/>
                <w:szCs w:val="16"/>
                <w:color w:val="auto"/>
              </w:rPr>
            </w:pPr>
          </w:p>
        </w:tc>
        <w:tc>
          <w:tcPr>
            <w:tcW w:w="340" w:type="dxa"/>
            <w:vAlign w:val="bottom"/>
            <w:tcBorders>
              <w:bottom w:val="single" w:sz="8" w:color="002F4D"/>
            </w:tcBorders>
          </w:tcPr>
          <w:p>
            <w:pPr>
              <w:spacing w:after="0"/>
              <w:rPr>
                <w:sz w:val="16"/>
                <w:szCs w:val="16"/>
                <w:color w:val="auto"/>
              </w:rPr>
            </w:pPr>
          </w:p>
        </w:tc>
        <w:tc>
          <w:tcPr>
            <w:tcW w:w="110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b w:val="1"/>
                <w:bCs w:val="1"/>
                <w:color w:val="00304D"/>
              </w:rPr>
              <w:t>2025</w:t>
            </w:r>
          </w:p>
        </w:tc>
        <w:tc>
          <w:tcPr>
            <w:tcW w:w="300" w:type="dxa"/>
            <w:vAlign w:val="bottom"/>
            <w:tcBorders>
              <w:bottom w:val="single" w:sz="8" w:color="002F4D"/>
            </w:tcBorders>
          </w:tcPr>
          <w:p>
            <w:pPr>
              <w:spacing w:after="0"/>
              <w:rPr>
                <w:sz w:val="16"/>
                <w:szCs w:val="16"/>
                <w:color w:val="auto"/>
              </w:rPr>
            </w:pPr>
          </w:p>
        </w:tc>
        <w:tc>
          <w:tcPr>
            <w:tcW w:w="740" w:type="dxa"/>
            <w:vAlign w:val="bottom"/>
            <w:tcBorders>
              <w:bottom w:val="single" w:sz="8" w:color="002F4D"/>
            </w:tcBorders>
          </w:tcPr>
          <w:p>
            <w:pPr>
              <w:jc w:val="right"/>
              <w:spacing w:after="0"/>
              <w:rPr>
                <w:sz w:val="20"/>
                <w:szCs w:val="20"/>
                <w:color w:val="auto"/>
              </w:rPr>
            </w:pPr>
            <w:r>
              <w:rPr>
                <w:rFonts w:ascii="Arial" w:cs="Arial" w:eastAsia="Arial" w:hAnsi="Arial"/>
                <w:sz w:val="15"/>
                <w:szCs w:val="15"/>
                <w:b w:val="1"/>
                <w:bCs w:val="1"/>
                <w:color w:val="00304D"/>
              </w:rPr>
              <w:t>2024</w:t>
            </w:r>
          </w:p>
        </w:tc>
        <w:tc>
          <w:tcPr>
            <w:tcW w:w="0" w:type="dxa"/>
            <w:vAlign w:val="bottom"/>
          </w:tcPr>
          <w:p>
            <w:pPr>
              <w:spacing w:after="0"/>
              <w:rPr>
                <w:sz w:val="1"/>
                <w:szCs w:val="1"/>
                <w:color w:val="auto"/>
              </w:rPr>
            </w:pPr>
          </w:p>
        </w:tc>
      </w:tr>
      <w:tr>
        <w:trPr>
          <w:trHeight w:val="157"/>
        </w:trPr>
        <w:tc>
          <w:tcPr>
            <w:tcW w:w="8760" w:type="dxa"/>
            <w:vAlign w:val="bottom"/>
          </w:tcPr>
          <w:p>
            <w:pPr>
              <w:ind w:left="60"/>
              <w:spacing w:after="0" w:line="157" w:lineRule="exact"/>
              <w:rPr>
                <w:sz w:val="20"/>
                <w:szCs w:val="20"/>
                <w:color w:val="auto"/>
              </w:rPr>
            </w:pPr>
            <w:r>
              <w:rPr>
                <w:rFonts w:ascii="Arial" w:cs="Arial" w:eastAsia="Arial" w:hAnsi="Arial"/>
                <w:sz w:val="15"/>
                <w:szCs w:val="15"/>
                <w:b w:val="1"/>
                <w:bCs w:val="1"/>
                <w:color w:val="auto"/>
              </w:rPr>
              <w:t>Audit Fees</w:t>
            </w:r>
            <w:r>
              <w:rPr>
                <w:rFonts w:ascii="Arial" w:cs="Arial" w:eastAsia="Arial" w:hAnsi="Arial"/>
                <w:sz w:val="15"/>
                <w:szCs w:val="15"/>
                <w:color w:val="auto"/>
              </w:rPr>
              <w:t>—Fees for the annual financial statement and internal control audits, reviews of the Company’s quarterly reports on</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8760" w:type="dxa"/>
            <w:vAlign w:val="bottom"/>
          </w:tcPr>
          <w:p>
            <w:pPr>
              <w:ind w:left="60"/>
              <w:spacing w:after="0"/>
              <w:rPr>
                <w:sz w:val="20"/>
                <w:szCs w:val="20"/>
                <w:color w:val="auto"/>
              </w:rPr>
            </w:pPr>
            <w:r>
              <w:rPr>
                <w:rFonts w:ascii="Arial" w:cs="Arial" w:eastAsia="Arial" w:hAnsi="Arial"/>
                <w:sz w:val="15"/>
                <w:szCs w:val="15"/>
                <w:color w:val="auto"/>
              </w:rPr>
              <w:t>Form 10-Q, and services normally provided by the independent registered public accountants in connection with statutory and</w:t>
            </w:r>
          </w:p>
        </w:tc>
        <w:tc>
          <w:tcPr>
            <w:tcW w:w="340" w:type="dxa"/>
            <w:vAlign w:val="bottom"/>
          </w:tcPr>
          <w:p>
            <w:pPr>
              <w:spacing w:after="0"/>
              <w:rPr>
                <w:sz w:val="15"/>
                <w:szCs w:val="15"/>
                <w:color w:val="auto"/>
              </w:rPr>
            </w:pPr>
          </w:p>
        </w:tc>
        <w:tc>
          <w:tcPr>
            <w:tcW w:w="1100" w:type="dxa"/>
            <w:vAlign w:val="bottom"/>
            <w:vMerge w:val="restart"/>
          </w:tcPr>
          <w:p>
            <w:pPr>
              <w:jc w:val="right"/>
              <w:ind w:right="104"/>
              <w:spacing w:after="0"/>
              <w:rPr>
                <w:sz w:val="20"/>
                <w:szCs w:val="20"/>
                <w:color w:val="auto"/>
              </w:rPr>
            </w:pPr>
            <w:r>
              <w:rPr>
                <w:rFonts w:ascii="Arial" w:cs="Arial" w:eastAsia="Arial" w:hAnsi="Arial"/>
                <w:sz w:val="15"/>
                <w:szCs w:val="15"/>
                <w:color w:val="auto"/>
                <w:w w:val="94"/>
              </w:rPr>
              <w:t>13,347,438</w:t>
            </w:r>
            <w:r>
              <w:rPr>
                <w:rFonts w:ascii="Arial" w:cs="Arial" w:eastAsia="Arial" w:hAnsi="Arial"/>
                <w:sz w:val="25"/>
                <w:szCs w:val="25"/>
                <w:color w:val="auto"/>
                <w:w w:val="94"/>
                <w:vertAlign w:val="superscript"/>
              </w:rPr>
              <w:t>(1)</w:t>
            </w: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76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regulatory filings</w:t>
            </w:r>
          </w:p>
        </w:tc>
        <w:tc>
          <w:tcPr>
            <w:tcW w:w="3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02F4D"/>
            </w:tcBorders>
            <w:vMerge w:val="continue"/>
          </w:tcPr>
          <w:p>
            <w:pPr>
              <w:spacing w:after="0"/>
              <w:rPr>
                <w:sz w:val="17"/>
                <w:szCs w:val="17"/>
                <w:color w:val="auto"/>
              </w:rPr>
            </w:pPr>
          </w:p>
        </w:tc>
        <w:tc>
          <w:tcPr>
            <w:tcW w:w="30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4,973,074</w:t>
            </w:r>
          </w:p>
        </w:tc>
        <w:tc>
          <w:tcPr>
            <w:tcW w:w="0" w:type="dxa"/>
            <w:vAlign w:val="bottom"/>
          </w:tcPr>
          <w:p>
            <w:pPr>
              <w:spacing w:after="0"/>
              <w:rPr>
                <w:sz w:val="1"/>
                <w:szCs w:val="1"/>
                <w:color w:val="auto"/>
              </w:rPr>
            </w:pPr>
          </w:p>
        </w:tc>
      </w:tr>
      <w:tr>
        <w:trPr>
          <w:trHeight w:val="157"/>
        </w:trPr>
        <w:tc>
          <w:tcPr>
            <w:tcW w:w="8760" w:type="dxa"/>
            <w:vAlign w:val="bottom"/>
          </w:tcPr>
          <w:p>
            <w:pPr>
              <w:ind w:left="60"/>
              <w:spacing w:after="0" w:line="157" w:lineRule="exact"/>
              <w:rPr>
                <w:sz w:val="20"/>
                <w:szCs w:val="20"/>
                <w:color w:val="auto"/>
              </w:rPr>
            </w:pPr>
            <w:r>
              <w:rPr>
                <w:rFonts w:ascii="Arial" w:cs="Arial" w:eastAsia="Arial" w:hAnsi="Arial"/>
                <w:sz w:val="15"/>
                <w:szCs w:val="15"/>
                <w:b w:val="1"/>
                <w:bCs w:val="1"/>
                <w:color w:val="auto"/>
              </w:rPr>
              <w:t>Audit-Related Fees</w:t>
            </w:r>
            <w:r>
              <w:rPr>
                <w:rFonts w:ascii="Arial" w:cs="Arial" w:eastAsia="Arial" w:hAnsi="Arial"/>
                <w:sz w:val="15"/>
                <w:szCs w:val="15"/>
                <w:color w:val="auto"/>
              </w:rPr>
              <w:t>—Fees for the assurance and related services that are associated with the performance of the audit or</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876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interim financial statement review and are not reported under audit fees</w:t>
            </w:r>
          </w:p>
        </w:tc>
        <w:tc>
          <w:tcPr>
            <w:tcW w:w="3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8,515</w:t>
            </w:r>
          </w:p>
        </w:tc>
        <w:tc>
          <w:tcPr>
            <w:tcW w:w="30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9,247</w:t>
            </w:r>
          </w:p>
        </w:tc>
        <w:tc>
          <w:tcPr>
            <w:tcW w:w="0" w:type="dxa"/>
            <w:vAlign w:val="bottom"/>
          </w:tcPr>
          <w:p>
            <w:pPr>
              <w:spacing w:after="0"/>
              <w:rPr>
                <w:sz w:val="1"/>
                <w:szCs w:val="1"/>
                <w:color w:val="auto"/>
              </w:rPr>
            </w:pPr>
          </w:p>
        </w:tc>
      </w:tr>
      <w:tr>
        <w:trPr>
          <w:trHeight w:val="182"/>
        </w:trPr>
        <w:tc>
          <w:tcPr>
            <w:tcW w:w="876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auto"/>
              </w:rPr>
              <w:t>Tax Fees</w:t>
            </w:r>
            <w:r>
              <w:rPr>
                <w:rFonts w:ascii="Arial" w:cs="Arial" w:eastAsia="Arial" w:hAnsi="Arial"/>
                <w:sz w:val="15"/>
                <w:szCs w:val="15"/>
                <w:color w:val="auto"/>
              </w:rPr>
              <w:t>—Fees for tax compliance</w:t>
            </w:r>
          </w:p>
        </w:tc>
        <w:tc>
          <w:tcPr>
            <w:tcW w:w="3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13,196</w:t>
            </w:r>
          </w:p>
        </w:tc>
        <w:tc>
          <w:tcPr>
            <w:tcW w:w="30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18,041</w:t>
            </w:r>
          </w:p>
        </w:tc>
        <w:tc>
          <w:tcPr>
            <w:tcW w:w="0" w:type="dxa"/>
            <w:vAlign w:val="bottom"/>
          </w:tcPr>
          <w:p>
            <w:pPr>
              <w:spacing w:after="0"/>
              <w:rPr>
                <w:sz w:val="1"/>
                <w:szCs w:val="1"/>
                <w:color w:val="auto"/>
              </w:rPr>
            </w:pPr>
          </w:p>
        </w:tc>
      </w:tr>
      <w:tr>
        <w:trPr>
          <w:trHeight w:val="182"/>
        </w:trPr>
        <w:tc>
          <w:tcPr>
            <w:tcW w:w="8760" w:type="dxa"/>
            <w:vAlign w:val="bottom"/>
            <w:tcBorders>
              <w:bottom w:val="single" w:sz="8" w:color="002F4D"/>
            </w:tcBorders>
          </w:tcPr>
          <w:p>
            <w:pPr>
              <w:ind w:left="680"/>
              <w:spacing w:after="0"/>
              <w:rPr>
                <w:sz w:val="20"/>
                <w:szCs w:val="20"/>
                <w:color w:val="auto"/>
              </w:rPr>
            </w:pPr>
            <w:r>
              <w:rPr>
                <w:rFonts w:ascii="Arial" w:cs="Arial" w:eastAsia="Arial" w:hAnsi="Arial"/>
                <w:sz w:val="15"/>
                <w:szCs w:val="15"/>
                <w:color w:val="auto"/>
              </w:rPr>
              <w:t>—Fees for assistance with tax audits and tax planning</w:t>
            </w:r>
          </w:p>
        </w:tc>
        <w:tc>
          <w:tcPr>
            <w:tcW w:w="3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8760" w:type="dxa"/>
            <w:vAlign w:val="bottom"/>
            <w:tcBorders>
              <w:bottom w:val="single" w:sz="8" w:color="002F4D"/>
            </w:tcBorders>
          </w:tcPr>
          <w:p>
            <w:pPr>
              <w:ind w:left="60"/>
              <w:spacing w:after="0"/>
              <w:rPr>
                <w:sz w:val="20"/>
                <w:szCs w:val="20"/>
                <w:color w:val="auto"/>
              </w:rPr>
            </w:pPr>
            <w:r>
              <w:rPr>
                <w:rFonts w:ascii="Arial" w:cs="Arial" w:eastAsia="Arial" w:hAnsi="Arial"/>
                <w:sz w:val="15"/>
                <w:szCs w:val="15"/>
                <w:b w:val="1"/>
                <w:bCs w:val="1"/>
                <w:color w:val="auto"/>
              </w:rPr>
              <w:t>All Other Fees</w:t>
            </w:r>
          </w:p>
        </w:tc>
        <w:tc>
          <w:tcPr>
            <w:tcW w:w="3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00" w:hanging="299"/>
        <w:spacing w:after="0" w:line="285" w:lineRule="auto"/>
        <w:tabs>
          <w:tab w:leader="none" w:pos="3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Audit fees increased in 2025, primarily relating to auditing carve-out financial statements for the Middleby Food Processing business in connection with the spin-off of the Middleby Food Processing business as a stand-alone public company. Fees attributable to these carve-out financial statements amounted to $7,337,860 in 2025.</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All of the services described in Audit Fees, Audit-Related Fees, Tax Fees, and All Other Fees were pre-approved by the Audit Committee.</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Audit Committee has considered whether the provision of non-audit services by the Company’s independent registered public accountants is compatible with maintaining the independence of the Company’s public accountants.</w:t>
      </w:r>
    </w:p>
    <w:p>
      <w:pPr>
        <w:spacing w:after="0" w:line="125"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Audit Committee charter provides that the Audit Committee must pre-approve all audit and permitted non-audit services to be performed by the independent registered public accountants (subject to the de minimis exceptions under applicable law, rules, and regulations).</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However, the Audit Committee may delegate to one or more designated committee members the authority to grant such pre-approvals. The decisions of any member to whom such authority is delegated will be presented to the full Audit Committee at its next regularly scheduled meeting. In determining whether to pre-approve permitted non-audit services, the Audit Committee (or the members with authority to pre-approve) must consider whether the independent registered public accountants’ performance of such services is compatible with independence.</w:t>
      </w:r>
    </w:p>
    <w:p>
      <w:pPr>
        <w:spacing w:after="0" w:line="14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58" w:name="page59"/>
    <w:bookmarkEnd w:id="58"/>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0" w:lineRule="exact"/>
        <w:rPr>
          <w:sz w:val="20"/>
          <w:szCs w:val="20"/>
          <w:color w:val="auto"/>
        </w:rPr>
      </w:pPr>
    </w:p>
    <w:p>
      <w:pPr>
        <w:spacing w:after="0"/>
        <w:rPr>
          <w:sz w:val="20"/>
          <w:szCs w:val="20"/>
          <w:color w:val="auto"/>
        </w:rPr>
      </w:pPr>
      <w:r>
        <w:rPr>
          <w:rFonts w:ascii="Arial" w:cs="Arial" w:eastAsia="Arial" w:hAnsi="Arial"/>
          <w:sz w:val="34"/>
          <w:szCs w:val="34"/>
          <w:b w:val="1"/>
          <w:bCs w:val="1"/>
          <w:color w:val="00304D"/>
        </w:rPr>
        <w:t>Information About the Annual Meeting</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00304D"/>
        </w:rPr>
        <w:t>Who can attend and vote at the Annual Meeting?</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Stockholders of record at the close of business on March 20, 2026 (the “Record Date”), are entitled to notice of and to vote at the Annual Meeting. On the Record Date, there were 46,621,841 outstanding shares of Middleby common stock. In deciding all questions at the Annual Meeting, each stockholder will be entitled to one vote for each share held on the Record Date. Please note that if you hold your shares through a bank, broker or other nominee, you must obtain a legal proxy from such nominee, if you want to vote at the meeting.</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If you wish to submit a question, you may do so during the meeting at www.virtualshareholdermeeting.com/MIDD2026. Only stockholders with a valid control number will have access to ask questions during the meeting. Questions pertinent to meeting matters will be answered during the meeting as time allows. If we receive substantially similar written questions, we may group such questions together and provide a single response to avoid repetition and allow time for additional questions.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If you experience technical difficulties, please contact the technical support telephone number posted on www.virtualshareholdermeeting.com/MIDD2026.</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00304D"/>
        </w:rPr>
        <w:t>What are the quorum requirements for the meeting?</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election inspectors appointed for the Annual Meeting will determine the presence of a quorum and tabulate the votes cast. The presence, in person or represented by proxy, of the holders of a majority of the shares of Middleby common stock outstanding and entitled to vote will constitute a quorum that enables us to transact business at the meeting. Abstentions and broker non-votes will be included in determining whether we have a quorum. For information on broker non-votes, see “</w:t>
      </w:r>
      <w:r>
        <w:rPr>
          <w:rFonts w:ascii="Arial" w:cs="Arial" w:eastAsia="Arial" w:hAnsi="Arial"/>
          <w:sz w:val="15"/>
          <w:szCs w:val="15"/>
          <w:i w:val="1"/>
          <w:iCs w:val="1"/>
          <w:color w:val="auto"/>
        </w:rPr>
        <w:t>What</w:t>
      </w:r>
      <w:r>
        <w:rPr>
          <w:rFonts w:ascii="Arial" w:cs="Arial" w:eastAsia="Arial" w:hAnsi="Arial"/>
          <w:sz w:val="15"/>
          <w:szCs w:val="15"/>
          <w:color w:val="auto"/>
        </w:rPr>
        <w:t xml:space="preserve"> </w:t>
      </w:r>
      <w:r>
        <w:rPr>
          <w:rFonts w:ascii="Arial" w:cs="Arial" w:eastAsia="Arial" w:hAnsi="Arial"/>
          <w:sz w:val="15"/>
          <w:szCs w:val="15"/>
          <w:i w:val="1"/>
          <w:iCs w:val="1"/>
          <w:color w:val="auto"/>
        </w:rPr>
        <w:t>is a broker non-vote</w:t>
      </w:r>
      <w:r>
        <w:rPr>
          <w:rFonts w:ascii="Arial" w:cs="Arial" w:eastAsia="Arial" w:hAnsi="Arial"/>
          <w:sz w:val="15"/>
          <w:szCs w:val="15"/>
          <w:color w:val="auto"/>
        </w:rPr>
        <w:t>?” below.</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00304D"/>
        </w:rPr>
        <w:t>What proposals will be voted on at the meeting, and what is the vote required to pass?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shows information about the three proposals we will consider at the meeting.</w:t>
      </w:r>
    </w:p>
    <w:p>
      <w:pPr>
        <w:sectPr>
          <w:pgSz w:w="11900" w:h="16838" w:orient="portrait"/>
          <w:cols w:equalWidth="0" w:num="1">
            <w:col w:w="11240"/>
          </w:cols>
          <w:pgMar w:left="320" w:top="231" w:right="339" w:bottom="1440" w:gutter="0" w:footer="0" w:header="0"/>
        </w:sectPr>
      </w:pPr>
    </w:p>
    <w:p>
      <w:pPr>
        <w:spacing w:after="0" w:line="358"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00304D"/>
        </w:rPr>
        <w:t>Proposal</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00304D"/>
        </w:rPr>
        <w:t>Election of directors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1620" w:type="dxa"/>
            <w:vAlign w:val="bottom"/>
          </w:tcPr>
          <w:p>
            <w:pPr>
              <w:spacing w:after="0"/>
              <w:rPr>
                <w:sz w:val="20"/>
                <w:szCs w:val="20"/>
                <w:color w:val="auto"/>
              </w:rPr>
            </w:pPr>
            <w:r>
              <w:rPr>
                <w:rFonts w:ascii="Arial" w:cs="Arial" w:eastAsia="Arial" w:hAnsi="Arial"/>
                <w:sz w:val="15"/>
                <w:szCs w:val="15"/>
                <w:b w:val="1"/>
                <w:bCs w:val="1"/>
                <w:color w:val="00304D"/>
              </w:rPr>
              <w:t>Board voting</w:t>
            </w: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20"/>
                <w:szCs w:val="20"/>
                <w:color w:val="auto"/>
              </w:rPr>
            </w:pPr>
            <w:r>
              <w:rPr>
                <w:rFonts w:ascii="Arial" w:cs="Arial" w:eastAsia="Arial" w:hAnsi="Arial"/>
                <w:sz w:val="15"/>
                <w:szCs w:val="15"/>
                <w:b w:val="1"/>
                <w:bCs w:val="1"/>
                <w:color w:val="00304D"/>
              </w:rPr>
              <w:t>recommendation</w:t>
            </w:r>
          </w:p>
        </w:tc>
        <w:tc>
          <w:tcPr>
            <w:tcW w:w="2380" w:type="dxa"/>
            <w:vAlign w:val="bottom"/>
          </w:tcPr>
          <w:p>
            <w:pPr>
              <w:ind w:left="760"/>
              <w:spacing w:after="0"/>
              <w:rPr>
                <w:sz w:val="20"/>
                <w:szCs w:val="20"/>
                <w:color w:val="auto"/>
              </w:rPr>
            </w:pPr>
            <w:r>
              <w:rPr>
                <w:rFonts w:ascii="Arial" w:cs="Arial" w:eastAsia="Arial" w:hAnsi="Arial"/>
                <w:sz w:val="15"/>
                <w:szCs w:val="15"/>
                <w:b w:val="1"/>
                <w:bCs w:val="1"/>
                <w:color w:val="00304D"/>
              </w:rPr>
              <w:t>Vote required to pass</w:t>
            </w:r>
          </w:p>
        </w:tc>
        <w:tc>
          <w:tcPr>
            <w:tcW w:w="0" w:type="dxa"/>
            <w:vAlign w:val="bottom"/>
          </w:tcPr>
          <w:p>
            <w:pPr>
              <w:spacing w:after="0"/>
              <w:rPr>
                <w:sz w:val="1"/>
                <w:szCs w:val="1"/>
                <w:color w:val="auto"/>
              </w:rPr>
            </w:pPr>
          </w:p>
        </w:tc>
      </w:tr>
      <w:tr>
        <w:trPr>
          <w:trHeight w:val="177"/>
        </w:trPr>
        <w:tc>
          <w:tcPr>
            <w:tcW w:w="1620" w:type="dxa"/>
            <w:vAlign w:val="bottom"/>
            <w:vMerge w:val="restart"/>
          </w:tcPr>
          <w:p>
            <w:pPr>
              <w:spacing w:after="0"/>
              <w:rPr>
                <w:sz w:val="20"/>
                <w:szCs w:val="20"/>
                <w:color w:val="auto"/>
              </w:rPr>
            </w:pPr>
            <w:r>
              <w:rPr>
                <w:rFonts w:ascii="Arial" w:cs="Arial" w:eastAsia="Arial" w:hAnsi="Arial"/>
                <w:sz w:val="15"/>
                <w:szCs w:val="15"/>
                <w:b w:val="1"/>
                <w:bCs w:val="1"/>
                <w:color w:val="265E7C"/>
              </w:rPr>
              <w:t>FOR</w:t>
            </w:r>
          </w:p>
        </w:tc>
        <w:tc>
          <w:tcPr>
            <w:tcW w:w="2380" w:type="dxa"/>
            <w:vAlign w:val="bottom"/>
          </w:tcPr>
          <w:p>
            <w:pPr>
              <w:ind w:left="400"/>
              <w:spacing w:after="0"/>
              <w:rPr>
                <w:sz w:val="20"/>
                <w:szCs w:val="20"/>
                <w:color w:val="auto"/>
              </w:rPr>
            </w:pPr>
            <w:r>
              <w:rPr>
                <w:rFonts w:ascii="Arial" w:cs="Arial" w:eastAsia="Arial" w:hAnsi="Arial"/>
                <w:sz w:val="15"/>
                <w:szCs w:val="15"/>
                <w:color w:val="auto"/>
              </w:rPr>
              <w:t>Election of each individual</w:t>
            </w:r>
          </w:p>
        </w:tc>
        <w:tc>
          <w:tcPr>
            <w:tcW w:w="0" w:type="dxa"/>
            <w:vAlign w:val="bottom"/>
          </w:tcPr>
          <w:p>
            <w:pPr>
              <w:spacing w:after="0"/>
              <w:rPr>
                <w:sz w:val="1"/>
                <w:szCs w:val="1"/>
                <w:color w:val="auto"/>
              </w:rPr>
            </w:pPr>
          </w:p>
        </w:tc>
      </w:tr>
      <w:tr>
        <w:trPr>
          <w:trHeight w:val="88"/>
        </w:trPr>
        <w:tc>
          <w:tcPr>
            <w:tcW w:w="1620" w:type="dxa"/>
            <w:vAlign w:val="bottom"/>
            <w:vMerge w:val="continue"/>
          </w:tcPr>
          <w:p>
            <w:pPr>
              <w:spacing w:after="0"/>
              <w:rPr>
                <w:sz w:val="7"/>
                <w:szCs w:val="7"/>
                <w:color w:val="auto"/>
              </w:rPr>
            </w:pPr>
          </w:p>
        </w:tc>
        <w:tc>
          <w:tcPr>
            <w:tcW w:w="2380" w:type="dxa"/>
            <w:vAlign w:val="bottom"/>
            <w:vMerge w:val="restart"/>
          </w:tcPr>
          <w:p>
            <w:pPr>
              <w:ind w:left="400"/>
              <w:spacing w:after="0"/>
              <w:rPr>
                <w:sz w:val="20"/>
                <w:szCs w:val="20"/>
                <w:color w:val="auto"/>
              </w:rPr>
            </w:pPr>
            <w:r>
              <w:rPr>
                <w:rFonts w:ascii="Arial" w:cs="Arial" w:eastAsia="Arial" w:hAnsi="Arial"/>
                <w:sz w:val="15"/>
                <w:szCs w:val="15"/>
                <w:color w:val="auto"/>
              </w:rPr>
              <w:t>director requires the vote of a</w:t>
            </w:r>
          </w:p>
        </w:tc>
        <w:tc>
          <w:tcPr>
            <w:tcW w:w="0" w:type="dxa"/>
            <w:vAlign w:val="bottom"/>
          </w:tcPr>
          <w:p>
            <w:pPr>
              <w:spacing w:after="0"/>
              <w:rPr>
                <w:sz w:val="1"/>
                <w:szCs w:val="1"/>
                <w:color w:val="auto"/>
              </w:rPr>
            </w:pPr>
          </w:p>
        </w:tc>
      </w:tr>
      <w:tr>
        <w:trPr>
          <w:trHeight w:val="88"/>
        </w:trPr>
        <w:tc>
          <w:tcPr>
            <w:tcW w:w="1620" w:type="dxa"/>
            <w:vAlign w:val="bottom"/>
            <w:vMerge w:val="restart"/>
          </w:tcPr>
          <w:p>
            <w:pPr>
              <w:spacing w:after="0"/>
              <w:rPr>
                <w:sz w:val="20"/>
                <w:szCs w:val="20"/>
                <w:color w:val="auto"/>
              </w:rPr>
            </w:pPr>
            <w:r>
              <w:rPr>
                <w:rFonts w:ascii="Arial" w:cs="Arial" w:eastAsia="Arial" w:hAnsi="Arial"/>
                <w:sz w:val="15"/>
                <w:szCs w:val="15"/>
                <w:b w:val="1"/>
                <w:bCs w:val="1"/>
                <w:color w:val="00304D"/>
              </w:rPr>
              <w:t>each nominee</w:t>
            </w:r>
          </w:p>
        </w:tc>
        <w:tc>
          <w:tcPr>
            <w:tcW w:w="2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1620" w:type="dxa"/>
            <w:vAlign w:val="bottom"/>
            <w:vMerge w:val="continue"/>
          </w:tcPr>
          <w:p>
            <w:pPr>
              <w:spacing w:after="0"/>
              <w:rPr>
                <w:sz w:val="10"/>
                <w:szCs w:val="10"/>
                <w:color w:val="auto"/>
              </w:rPr>
            </w:pPr>
          </w:p>
        </w:tc>
        <w:tc>
          <w:tcPr>
            <w:tcW w:w="2380" w:type="dxa"/>
            <w:vAlign w:val="bottom"/>
            <w:vMerge w:val="restart"/>
          </w:tcPr>
          <w:p>
            <w:pPr>
              <w:ind w:left="400"/>
              <w:spacing w:after="0"/>
              <w:rPr>
                <w:sz w:val="20"/>
                <w:szCs w:val="20"/>
                <w:color w:val="auto"/>
              </w:rPr>
            </w:pPr>
            <w:r>
              <w:rPr>
                <w:rFonts w:ascii="Arial" w:cs="Arial" w:eastAsia="Arial" w:hAnsi="Arial"/>
                <w:sz w:val="15"/>
                <w:szCs w:val="15"/>
                <w:color w:val="auto"/>
              </w:rPr>
              <w:t>majority of the votes cast</w:t>
            </w:r>
          </w:p>
        </w:tc>
        <w:tc>
          <w:tcPr>
            <w:tcW w:w="0" w:type="dxa"/>
            <w:vAlign w:val="bottom"/>
          </w:tcPr>
          <w:p>
            <w:pPr>
              <w:spacing w:after="0"/>
              <w:rPr>
                <w:sz w:val="1"/>
                <w:szCs w:val="1"/>
                <w:color w:val="auto"/>
              </w:rPr>
            </w:pPr>
          </w:p>
        </w:tc>
      </w:tr>
      <w:tr>
        <w:trPr>
          <w:trHeight w:val="70"/>
        </w:trPr>
        <w:tc>
          <w:tcPr>
            <w:tcW w:w="1620" w:type="dxa"/>
            <w:vAlign w:val="bottom"/>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-4431030</wp:posOffset>
            </wp:positionH>
            <wp:positionV relativeFrom="paragraph">
              <wp:posOffset>-344170</wp:posOffset>
            </wp:positionV>
            <wp:extent cx="714121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260" w:space="720"/>
            <w:col w:w="4260"/>
          </w:cols>
          <w:pgMar w:left="320" w:top="231" w:right="3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5720" w:type="dxa"/>
            <w:vAlign w:val="bottom"/>
            <w:tcBorders>
              <w:top w:val="single" w:sz="8" w:color="265E7C"/>
              <w:bottom w:val="single" w:sz="8" w:color="265E7C"/>
            </w:tcBorders>
          </w:tcPr>
          <w:p>
            <w:pPr>
              <w:ind w:left="60"/>
              <w:spacing w:after="0" w:line="169" w:lineRule="exact"/>
              <w:rPr>
                <w:sz w:val="20"/>
                <w:szCs w:val="20"/>
                <w:color w:val="auto"/>
              </w:rPr>
            </w:pPr>
            <w:r>
              <w:rPr>
                <w:rFonts w:ascii="Arial" w:cs="Arial" w:eastAsia="Arial" w:hAnsi="Arial"/>
                <w:sz w:val="15"/>
                <w:szCs w:val="15"/>
                <w:b w:val="1"/>
                <w:bCs w:val="1"/>
                <w:color w:val="00304D"/>
              </w:rPr>
              <w:t>Advisory vote to approve executive compensation</w:t>
            </w:r>
          </w:p>
        </w:tc>
        <w:tc>
          <w:tcPr>
            <w:tcW w:w="2440" w:type="dxa"/>
            <w:vAlign w:val="bottom"/>
            <w:tcBorders>
              <w:top w:val="single" w:sz="8" w:color="265E7C"/>
              <w:bottom w:val="single" w:sz="8" w:color="265E7C"/>
            </w:tcBorders>
          </w:tcPr>
          <w:p>
            <w:pPr>
              <w:ind w:left="1260"/>
              <w:spacing w:after="0" w:line="169" w:lineRule="exact"/>
              <w:rPr>
                <w:sz w:val="20"/>
                <w:szCs w:val="20"/>
                <w:color w:val="auto"/>
              </w:rPr>
            </w:pPr>
            <w:r>
              <w:rPr>
                <w:rFonts w:ascii="Arial" w:cs="Arial" w:eastAsia="Arial" w:hAnsi="Arial"/>
                <w:sz w:val="15"/>
                <w:szCs w:val="15"/>
                <w:b w:val="1"/>
                <w:bCs w:val="1"/>
                <w:color w:val="265E7C"/>
              </w:rPr>
              <w:t>FOR</w:t>
            </w:r>
          </w:p>
        </w:tc>
        <w:tc>
          <w:tcPr>
            <w:tcW w:w="3080" w:type="dxa"/>
            <w:vAlign w:val="bottom"/>
            <w:tcBorders>
              <w:top w:val="single" w:sz="8" w:color="265E7C"/>
              <w:bottom w:val="single" w:sz="8" w:color="265E7C"/>
            </w:tcBorders>
          </w:tcPr>
          <w:p>
            <w:pPr>
              <w:ind w:left="840"/>
              <w:spacing w:after="0" w:line="169" w:lineRule="exact"/>
              <w:rPr>
                <w:sz w:val="20"/>
                <w:szCs w:val="20"/>
                <w:color w:val="auto"/>
              </w:rPr>
            </w:pPr>
            <w:r>
              <w:rPr>
                <w:rFonts w:ascii="Arial" w:cs="Arial" w:eastAsia="Arial" w:hAnsi="Arial"/>
                <w:sz w:val="15"/>
                <w:szCs w:val="15"/>
                <w:color w:val="auto"/>
              </w:rPr>
              <w:t>Majority of the votes cast</w:t>
            </w:r>
          </w:p>
        </w:tc>
      </w:tr>
      <w:tr>
        <w:trPr>
          <w:trHeight w:val="175"/>
        </w:trPr>
        <w:tc>
          <w:tcPr>
            <w:tcW w:w="5720" w:type="dxa"/>
            <w:vAlign w:val="bottom"/>
            <w:tcBorders>
              <w:bottom w:val="single" w:sz="8" w:color="265E7C"/>
            </w:tcBorders>
          </w:tcPr>
          <w:p>
            <w:pPr>
              <w:ind w:left="60"/>
              <w:spacing w:after="0" w:line="169" w:lineRule="exact"/>
              <w:rPr>
                <w:sz w:val="20"/>
                <w:szCs w:val="20"/>
                <w:color w:val="auto"/>
              </w:rPr>
            </w:pPr>
            <w:r>
              <w:rPr>
                <w:rFonts w:ascii="Arial" w:cs="Arial" w:eastAsia="Arial" w:hAnsi="Arial"/>
                <w:sz w:val="15"/>
                <w:szCs w:val="15"/>
                <w:b w:val="1"/>
                <w:bCs w:val="1"/>
                <w:color w:val="00304D"/>
              </w:rPr>
              <w:t>Ratification of the independent registered public accountants</w:t>
            </w:r>
          </w:p>
        </w:tc>
        <w:tc>
          <w:tcPr>
            <w:tcW w:w="2440" w:type="dxa"/>
            <w:vAlign w:val="bottom"/>
            <w:tcBorders>
              <w:bottom w:val="single" w:sz="8" w:color="265E7C"/>
            </w:tcBorders>
          </w:tcPr>
          <w:p>
            <w:pPr>
              <w:ind w:left="1260"/>
              <w:spacing w:after="0" w:line="169" w:lineRule="exact"/>
              <w:rPr>
                <w:sz w:val="20"/>
                <w:szCs w:val="20"/>
                <w:color w:val="auto"/>
              </w:rPr>
            </w:pPr>
            <w:r>
              <w:rPr>
                <w:rFonts w:ascii="Arial" w:cs="Arial" w:eastAsia="Arial" w:hAnsi="Arial"/>
                <w:sz w:val="15"/>
                <w:szCs w:val="15"/>
                <w:b w:val="1"/>
                <w:bCs w:val="1"/>
                <w:color w:val="265E7C"/>
              </w:rPr>
              <w:t>FOR</w:t>
            </w:r>
          </w:p>
        </w:tc>
        <w:tc>
          <w:tcPr>
            <w:tcW w:w="3080" w:type="dxa"/>
            <w:vAlign w:val="bottom"/>
            <w:tcBorders>
              <w:bottom w:val="single" w:sz="8" w:color="265E7C"/>
            </w:tcBorders>
          </w:tcPr>
          <w:p>
            <w:pPr>
              <w:ind w:left="840"/>
              <w:spacing w:after="0" w:line="169" w:lineRule="exact"/>
              <w:rPr>
                <w:sz w:val="20"/>
                <w:szCs w:val="20"/>
                <w:color w:val="auto"/>
              </w:rPr>
            </w:pPr>
            <w:r>
              <w:rPr>
                <w:rFonts w:ascii="Arial" w:cs="Arial" w:eastAsia="Arial" w:hAnsi="Arial"/>
                <w:sz w:val="15"/>
                <w:szCs w:val="15"/>
                <w:color w:val="auto"/>
              </w:rPr>
              <w:t>Majority of the votes cast</w:t>
            </w:r>
          </w:p>
        </w:tc>
      </w:tr>
    </w:tbl>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For each proposal we will consider only votes actually cast, whether in person or by proxy. Abstentions and broker non-votes will not have any effect on the results of Proposal 1 or Proposal 2, and we do not expect to have broker non-votes for Proposal 3.</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304D"/>
        </w:rPr>
        <w:t>What is a broker non-vote?</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If you are not a registered owner of Middleby stock—meaning you own your shares through a bank, broker, or other nominee—you are considered a “beneficial owner.” Your nominee is the registered owner of your stock, but you are entitled to tell your nominee how to vote your shares. In some cases, your nominee can vote your shares without instructions. At our Annual Meeting, nominees can use their discretion to vote on the proposal regarding the ratification of the independent registered public accountants even if they don’t have instructions from the beneficial owners. On all other matters—the election of directors and the advisory approval of executive compensation—nominees cannot vote without instructions from the beneficial owners. A broker non-vote occurs when a broker does not have discretionary authority or voting instructions as to certain shares to vote on a particular matter.</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00304D"/>
        </w:rPr>
        <w:t>How can I vote?</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If you own shares in your own name, you may vote in one of the following ways:</w:t>
      </w:r>
    </w:p>
    <w:p>
      <w:pPr>
        <w:spacing w:after="0" w:line="181" w:lineRule="exact"/>
        <w:rPr>
          <w:sz w:val="20"/>
          <w:szCs w:val="20"/>
          <w:color w:val="auto"/>
        </w:rPr>
      </w:pPr>
    </w:p>
    <w:p>
      <w:pPr>
        <w:ind w:left="160" w:hanging="159"/>
        <w:spacing w:after="0"/>
        <w:tabs>
          <w:tab w:leader="none" w:pos="160" w:val="left"/>
        </w:tabs>
        <w:numPr>
          <w:ilvl w:val="0"/>
          <w:numId w:val="47"/>
        </w:numPr>
        <w:rPr>
          <w:rFonts w:ascii="Arial" w:cs="Arial" w:eastAsia="Arial" w:hAnsi="Arial"/>
          <w:sz w:val="15"/>
          <w:szCs w:val="15"/>
          <w:color w:val="265E7C"/>
        </w:rPr>
      </w:pPr>
      <w:r>
        <w:rPr>
          <w:rFonts w:ascii="Arial" w:cs="Arial" w:eastAsia="Arial" w:hAnsi="Arial"/>
          <w:sz w:val="15"/>
          <w:szCs w:val="15"/>
          <w:color w:val="auto"/>
        </w:rPr>
        <w:t>visit the website shown on your Notice of Internet Availability of Proxy Materials or proxy card to vote electronically</w:t>
      </w:r>
    </w:p>
    <w:p>
      <w:pPr>
        <w:spacing w:after="0" w:line="79" w:lineRule="exact"/>
        <w:rPr>
          <w:rFonts w:ascii="Arial" w:cs="Arial" w:eastAsia="Arial" w:hAnsi="Arial"/>
          <w:sz w:val="15"/>
          <w:szCs w:val="15"/>
          <w:color w:val="265E7C"/>
        </w:rPr>
      </w:pPr>
    </w:p>
    <w:p>
      <w:pPr>
        <w:ind w:left="160" w:hanging="159"/>
        <w:spacing w:after="0"/>
        <w:tabs>
          <w:tab w:leader="none" w:pos="160" w:val="left"/>
        </w:tabs>
        <w:numPr>
          <w:ilvl w:val="0"/>
          <w:numId w:val="47"/>
        </w:numPr>
        <w:rPr>
          <w:rFonts w:ascii="Arial" w:cs="Arial" w:eastAsia="Arial" w:hAnsi="Arial"/>
          <w:sz w:val="15"/>
          <w:szCs w:val="15"/>
          <w:color w:val="265E7C"/>
        </w:rPr>
      </w:pPr>
      <w:r>
        <w:rPr>
          <w:rFonts w:ascii="Arial" w:cs="Arial" w:eastAsia="Arial" w:hAnsi="Arial"/>
          <w:sz w:val="15"/>
          <w:szCs w:val="15"/>
          <w:color w:val="auto"/>
        </w:rPr>
        <w:t>follow the instructions on your Notice of Internet Availability of Proxy Materials or proxy card to vote by telephone</w:t>
      </w:r>
    </w:p>
    <w:p>
      <w:pPr>
        <w:spacing w:after="0" w:line="79" w:lineRule="exact"/>
        <w:rPr>
          <w:rFonts w:ascii="Arial" w:cs="Arial" w:eastAsia="Arial" w:hAnsi="Arial"/>
          <w:sz w:val="15"/>
          <w:szCs w:val="15"/>
          <w:color w:val="265E7C"/>
        </w:rPr>
      </w:pPr>
    </w:p>
    <w:p>
      <w:pPr>
        <w:ind w:left="160" w:hanging="159"/>
        <w:spacing w:after="0"/>
        <w:tabs>
          <w:tab w:leader="none" w:pos="160" w:val="left"/>
        </w:tabs>
        <w:numPr>
          <w:ilvl w:val="0"/>
          <w:numId w:val="47"/>
        </w:numPr>
        <w:rPr>
          <w:rFonts w:ascii="Arial" w:cs="Arial" w:eastAsia="Arial" w:hAnsi="Arial"/>
          <w:sz w:val="15"/>
          <w:szCs w:val="15"/>
          <w:color w:val="265E7C"/>
        </w:rPr>
      </w:pPr>
      <w:r>
        <w:rPr>
          <w:rFonts w:ascii="Arial" w:cs="Arial" w:eastAsia="Arial" w:hAnsi="Arial"/>
          <w:sz w:val="15"/>
          <w:szCs w:val="15"/>
          <w:color w:val="auto"/>
        </w:rPr>
        <w:t>if you requested printed proxy materials, sign and return the proxy card using the postage-paid envelope provided</w:t>
      </w:r>
    </w:p>
    <w:p>
      <w:pPr>
        <w:spacing w:after="0" w:line="79" w:lineRule="exact"/>
        <w:rPr>
          <w:rFonts w:ascii="Arial" w:cs="Arial" w:eastAsia="Arial" w:hAnsi="Arial"/>
          <w:sz w:val="15"/>
          <w:szCs w:val="15"/>
          <w:color w:val="265E7C"/>
        </w:rPr>
      </w:pPr>
    </w:p>
    <w:p>
      <w:pPr>
        <w:ind w:left="160" w:hanging="159"/>
        <w:spacing w:after="0"/>
        <w:tabs>
          <w:tab w:leader="none" w:pos="160" w:val="left"/>
        </w:tabs>
        <w:numPr>
          <w:ilvl w:val="0"/>
          <w:numId w:val="47"/>
        </w:numPr>
        <w:rPr>
          <w:rFonts w:ascii="Arial" w:cs="Arial" w:eastAsia="Arial" w:hAnsi="Arial"/>
          <w:sz w:val="15"/>
          <w:szCs w:val="15"/>
          <w:color w:val="265E7C"/>
        </w:rPr>
      </w:pPr>
      <w:r>
        <w:rPr>
          <w:rFonts w:ascii="Arial" w:cs="Arial" w:eastAsia="Arial" w:hAnsi="Arial"/>
          <w:sz w:val="15"/>
          <w:szCs w:val="15"/>
          <w:color w:val="auto"/>
        </w:rPr>
        <w:t>virtually attend the Annual Meeting and vote in person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If you own shares through a bank, broker or other nominee, please follow the instructions provided by such nominee to ensure your votes are executed. If you wish to vote your shares virtually in person at the Annual Meeting, you must obtain a legal proxy from your nominee. Please contact your bank, broker or other nominee for more information.</w:t>
      </w:r>
    </w:p>
    <w:p>
      <w:pPr>
        <w:spacing w:after="0" w:line="138" w:lineRule="exact"/>
        <w:rPr>
          <w:sz w:val="20"/>
          <w:szCs w:val="20"/>
          <w:color w:val="auto"/>
        </w:rPr>
      </w:pPr>
    </w:p>
    <w:p>
      <w:pPr>
        <w:ind w:left="8960"/>
        <w:spacing w:after="0"/>
        <w:tabs>
          <w:tab w:leader="none" w:pos="1106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00304D"/>
        </w:rPr>
        <w:t>How will my shares be voted if I submit a proxy before the Annual Meeting?</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Properly executed proxies will be voted in the manner directed by the stockholder. Any proxies submitted without voting instructions will be voted as follows:</w:t>
      </w:r>
    </w:p>
    <w:p>
      <w:pPr>
        <w:spacing w:after="0" w:line="181" w:lineRule="exact"/>
        <w:rPr>
          <w:sz w:val="20"/>
          <w:szCs w:val="20"/>
          <w:color w:val="auto"/>
        </w:rPr>
      </w:pPr>
    </w:p>
    <w:p>
      <w:pPr>
        <w:ind w:left="160" w:hanging="159"/>
        <w:spacing w:after="0"/>
        <w:tabs>
          <w:tab w:leader="none" w:pos="160" w:val="left"/>
        </w:tabs>
        <w:numPr>
          <w:ilvl w:val="0"/>
          <w:numId w:val="48"/>
        </w:numPr>
        <w:rPr>
          <w:rFonts w:ascii="Arial" w:cs="Arial" w:eastAsia="Arial" w:hAnsi="Arial"/>
          <w:sz w:val="15"/>
          <w:szCs w:val="15"/>
          <w:color w:val="265E7C"/>
        </w:rPr>
      </w:pPr>
      <w:r>
        <w:rPr>
          <w:rFonts w:ascii="Arial" w:cs="Arial" w:eastAsia="Arial" w:hAnsi="Arial"/>
          <w:sz w:val="15"/>
          <w:szCs w:val="15"/>
          <w:color w:val="auto"/>
        </w:rPr>
        <w:t>FOR the election of each of the nominees as a director of the Company;</w:t>
      </w:r>
    </w:p>
    <w:p>
      <w:pPr>
        <w:spacing w:after="0" w:line="79" w:lineRule="exact"/>
        <w:rPr>
          <w:rFonts w:ascii="Arial" w:cs="Arial" w:eastAsia="Arial" w:hAnsi="Arial"/>
          <w:sz w:val="15"/>
          <w:szCs w:val="15"/>
          <w:color w:val="265E7C"/>
        </w:rPr>
      </w:pPr>
    </w:p>
    <w:p>
      <w:pPr>
        <w:ind w:left="160" w:hanging="159"/>
        <w:spacing w:after="0"/>
        <w:tabs>
          <w:tab w:leader="none" w:pos="160" w:val="left"/>
        </w:tabs>
        <w:numPr>
          <w:ilvl w:val="0"/>
          <w:numId w:val="48"/>
        </w:numPr>
        <w:rPr>
          <w:rFonts w:ascii="Arial" w:cs="Arial" w:eastAsia="Arial" w:hAnsi="Arial"/>
          <w:sz w:val="15"/>
          <w:szCs w:val="15"/>
          <w:color w:val="265E7C"/>
        </w:rPr>
      </w:pPr>
      <w:r>
        <w:rPr>
          <w:rFonts w:ascii="Arial" w:cs="Arial" w:eastAsia="Arial" w:hAnsi="Arial"/>
          <w:sz w:val="15"/>
          <w:szCs w:val="15"/>
          <w:color w:val="auto"/>
        </w:rPr>
        <w:t>FOR the approval, on an advisory basis, of the 2025 compensation of the Company’s named executive officers; and</w:t>
      </w:r>
    </w:p>
    <w:p>
      <w:pPr>
        <w:spacing w:after="0" w:line="79" w:lineRule="exact"/>
        <w:rPr>
          <w:rFonts w:ascii="Arial" w:cs="Arial" w:eastAsia="Arial" w:hAnsi="Arial"/>
          <w:sz w:val="15"/>
          <w:szCs w:val="15"/>
          <w:color w:val="265E7C"/>
        </w:rPr>
      </w:pPr>
    </w:p>
    <w:p>
      <w:pPr>
        <w:ind w:left="160" w:hanging="159"/>
        <w:spacing w:after="0"/>
        <w:tabs>
          <w:tab w:leader="none" w:pos="160" w:val="left"/>
        </w:tabs>
        <w:numPr>
          <w:ilvl w:val="0"/>
          <w:numId w:val="48"/>
        </w:numPr>
        <w:rPr>
          <w:rFonts w:ascii="Arial" w:cs="Arial" w:eastAsia="Arial" w:hAnsi="Arial"/>
          <w:sz w:val="15"/>
          <w:szCs w:val="15"/>
          <w:color w:val="265E7C"/>
        </w:rPr>
      </w:pPr>
      <w:r>
        <w:rPr>
          <w:rFonts w:ascii="Arial" w:cs="Arial" w:eastAsia="Arial" w:hAnsi="Arial"/>
          <w:sz w:val="15"/>
          <w:szCs w:val="15"/>
          <w:color w:val="auto"/>
        </w:rPr>
        <w:t>FOR the ratification of the selection of Ernst &amp; Young LLP as the Company’s independent registered public accountants for the fiscal year ending January 2, 2027.</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As of the date of this Proxy Statement, the Board knows of no other business that will be presented for consideration at the Annual Meeting. If other proper matters are presented at the meeting, the proxy holders named in the enclosed form of proxy are authorized to take such actions as they deem appropriate.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304D"/>
        </w:rPr>
        <w:t>If I vote or give my proxy in advance, can I change my mind?</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You can revoke your proxy at any time before it is voted by giving written notice to the Secretary of the Company, either prior to the meeting (at the Company’s Elgin Illinois address) or at the meeting if you virtually attend in person. You also can submit a new proxy, which will revoke a prior-dated proxy.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304D"/>
        </w:rPr>
        <w:t>Why didn’t I receive a printed copy of the proxy materials?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As permitted by SEC rules, we have elected to provide access to our proxy materials and 2025 Annual Report online instead of sending all stockholders a full set of printed proxy materials. We believe that electronic delivery provides you with prompt access to our proxy materials, lowers our costs of printing and delivering proxy materials, and minimizes the environmental impact of printing paper copies. You should have already received the Notice of Internet Availability of Proxy Materials containing instructions on how to access the proxy materials and vote. If you would like to receive a printed copy of our proxy materials, follow the instructions for requesting such materials set forth on the Notice of Internet Availability of Proxy Materials.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00304D"/>
        </w:rPr>
        <w:t>Several members of my family own Middleby stock. Why didn’t we each receive proxy materials?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SEC rules permit us to deliver one Notice of Internet Availability of Proxy Materials to a single address that is shared by two or more stockholders. This delivery method, known as “householding,” can result in significant cost savings. We have delivered only one Notice of Internet Availability of Proxy Materials to multiple stockholders who share an address unless we received contrary instructions from an affected stockholder before the mailing date. We will deliver promptly, upon request, a separate copy of the Notice of Internet Availability of Proxy Materials to any stockholder at a shared address to which a single copy of the notice was delivered. If you prefer to receive separate copies of the Notice of Internet Availability of Proxy Materials for the upcoming meeting or all future meetings of the stockholders, contact Broadridge Financial Solutions, Inc. at 866-540-7095 or in writing at Broadridge Financial Solutions, Inc., Householding Department, 51 Mercedes Way, Edgewood, New York 11717. If you are currently a stockholder sharing an address with another stockholder and wish to receive only one copy of future Notices of Internet Availability of Proxy Materials for your household for all future meetings of the stockholders, please contact Broadridge Financial Solutions, Inc. at the above phone number or address.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00304D"/>
        </w:rPr>
        <w:t>Who is paying for this proxy solicitation?</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This solicitation of proxies is made by the Company, and the Company is responsible for all associated expenses. Proxies may be solicited on behalf of the Company by directors, officers, and employees of the Company by mail, telephone, or electronically. The Company will reimburse brokers and others holding common stock as nominees for their expenses in sending proxy materials to the beneficial owners and obtaining their proxies.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00304D"/>
        </w:rPr>
        <w:t>How can I submit a proposal for inclusion in the Company’s proxy materials for next year’s annual meeting?</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Under SEC rules, a stockholder who intends to present a proposal at the 2027 Annual Meeting and who wishes the proposal to be included in our proxy statement for that meeting pursuant to Rule 14a-8 under the Exchange Act must submit the proposal in writing to the Secretary of the Company at the Company’s principal executive offices at 1400 Toastmaster Drive, Elgin Illinois, 60120. The proposal must be received no later than December 8, 2026 (120 days before April 7, 2027, the one-year anniversary of the anticipated mailing date of this Proxy Statement).</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00304D"/>
        </w:rPr>
        <w:t>How can I submit other proposals and a candidate for the Board for next year’s annual meeting?</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Under our Bylaws, written notice of (i) proposals intended to be presented by a stockholder at the 2027 Annual Meeting, but that are not intended for inclusion in our proxy statement for that meeting pursuant to Rule 14a-8, and (ii) nominees for the election of directors intended to be made by a stockholder at the 2027 Annual Meeting, must be delivered to the Secretary of the Company at the Company’s principal executive offices at 1400 Toastmaster Drive, Elgin, Illinois, 60120 between January 19, 2027, and February 18, 2027. However, if the 2027 Annual Meeting is called for a date that is not within thirty days before or after May 19, 2027, your proposal or nomination must be received not later than the close of business on the tenth day following the day on which notice of the date of the 2027 Annual Meeting was mailed or public disclosure of the date of that annual meeting was made, whichever first occurs. Such advance notice deadline will also be the deadline for a proposal to be considered “timely” for purposes of Rule 14a-4(c) under the Exchange Act. To be in proper written form, such a notice must set forth the information prescribed in the Company’s Bylaws.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In addition to satisfying the provisions in our Bylaws relating to nominations of director candidates, including the deadline for written notice, to comply with the SEC’s universal proxy rule, stockholders who intend to solicit proxies in support of director nominees other than the Company’s nominees in compliance with Rule 14a-19 under the Exchange Act, must provide notice that sets forth the information required by Rule 14a-19 no later than March 20, 2027.</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By Order of the Board of Directors</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MICHAEL D. THOMPSON</w:t>
      </w:r>
    </w:p>
    <w:p>
      <w:pPr>
        <w:spacing w:after="0" w:line="18" w:lineRule="exact"/>
        <w:rPr>
          <w:sz w:val="20"/>
          <w:szCs w:val="20"/>
          <w:color w:val="auto"/>
        </w:rPr>
      </w:pPr>
    </w:p>
    <w:p>
      <w:pPr>
        <w:ind w:left="9120"/>
        <w:spacing w:after="0"/>
        <w:rPr>
          <w:sz w:val="20"/>
          <w:szCs w:val="20"/>
          <w:color w:val="auto"/>
        </w:rPr>
      </w:pPr>
      <w:r>
        <w:rPr>
          <w:rFonts w:ascii="Arial" w:cs="Arial" w:eastAsia="Arial" w:hAnsi="Arial"/>
          <w:sz w:val="15"/>
          <w:szCs w:val="15"/>
          <w:i w:val="1"/>
          <w:iCs w:val="1"/>
          <w:color w:val="auto"/>
        </w:rPr>
        <w:t>General Counsel and Secretary</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Dated: </w:t>
      </w:r>
      <w:r>
        <w:rPr>
          <w:rFonts w:ascii="Arial" w:cs="Arial" w:eastAsia="Arial" w:hAnsi="Arial"/>
          <w:sz w:val="15"/>
          <w:szCs w:val="15"/>
          <w:b w:val="1"/>
          <w:bCs w:val="1"/>
          <w:color w:val="auto"/>
        </w:rPr>
        <w:t>April 8, 2026</w:t>
      </w:r>
    </w:p>
    <w:p>
      <w:pPr>
        <w:spacing w:after="0" w:line="16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60" w:name="page61"/>
    <w:bookmarkEnd w:id="60"/>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0" w:lineRule="exact"/>
        <w:rPr>
          <w:sz w:val="20"/>
          <w:szCs w:val="20"/>
          <w:color w:val="auto"/>
        </w:rPr>
      </w:pPr>
    </w:p>
    <w:p>
      <w:pPr>
        <w:spacing w:after="0"/>
        <w:rPr>
          <w:sz w:val="20"/>
          <w:szCs w:val="20"/>
          <w:color w:val="auto"/>
        </w:rPr>
      </w:pPr>
      <w:r>
        <w:rPr>
          <w:rFonts w:ascii="Arial" w:cs="Arial" w:eastAsia="Arial" w:hAnsi="Arial"/>
          <w:sz w:val="34"/>
          <w:szCs w:val="34"/>
          <w:b w:val="1"/>
          <w:bCs w:val="1"/>
          <w:color w:val="00304D"/>
        </w:rPr>
        <w:t>Annex A</w:t>
      </w:r>
    </w:p>
    <w:p>
      <w:pPr>
        <w:spacing w:after="0" w:line="306"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265E7C"/>
        </w:rPr>
        <w:t>Non-GAAP Financial Measures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The Company supplements its consolidated financial statements presented on a GAAP basis with the non-GAAP financial information provided in this Proxy Statement to provide investors with greater insight, increase transparency and allow for a more comprehensive understanding of the information used by management in its financial and operational decision-making. The non-GAAP financial measures disclosed by the Company should not be considered a substitute for, or superior to, financial measures prepared in accordance with GAAP, and the financial results prepared in accordance with GAAP and reconciliations from these results should be carefully evaluated. In addition, the non-GAAP financial measures included in this proxy statement do not have standard meanings and may vary from similarly titled non-GAAP financial measures used by other companies.</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Company believes that the adjusted net earnings per share and adjusted EDITDA measures are useful as a supplement to its GAAP results of operations to evaluate certain aspects of its operations and financial performance, and its management team primarily focuses on non-GAAP items in evaluating performance for business planning purposes. The Company also believes that these measures assists it with comparing its performance between various reporting periods on a consistent basis, as it removes from operating results the impact of items that, in its opinion, do not reflect its core operating performance including, for example, intangibles amortization expense, impairment charges, restructuring expenses, and other charges which management considers to be outside core operating results.</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Company believes that its presentation of these non-GAAP financial measures is useful because it provides investors and securities analysts with the same information that Middleby uses internally for purposes of assessing its core operating performance. Additional information regarding these non-GAAP financial measures is available in the Company’s Form 8-K filed with the SEC on March 4, 2026 and in other Company filings with the SEC.</w:t>
      </w:r>
    </w:p>
    <w:p>
      <w:pPr>
        <w:spacing w:after="0" w:line="237" w:lineRule="exact"/>
        <w:rPr>
          <w:sz w:val="20"/>
          <w:szCs w:val="20"/>
          <w:color w:val="auto"/>
        </w:rPr>
      </w:pPr>
    </w:p>
    <w:p>
      <w:pPr>
        <w:ind w:right="700"/>
        <w:spacing w:after="0" w:line="285" w:lineRule="auto"/>
        <w:rPr>
          <w:sz w:val="20"/>
          <w:szCs w:val="20"/>
          <w:color w:val="auto"/>
        </w:rPr>
      </w:pPr>
      <w:r>
        <w:rPr>
          <w:rFonts w:ascii="Arial" w:cs="Arial" w:eastAsia="Arial" w:hAnsi="Arial"/>
          <w:sz w:val="20"/>
          <w:szCs w:val="20"/>
          <w:b w:val="1"/>
          <w:bCs w:val="1"/>
          <w:color w:val="auto"/>
        </w:rPr>
        <w:t>Reconciliation of Net Earnings Per Share (a GAAP Measure) to Adjusted Net Earnings Per Share (a Non-GAAP Measure)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40" w:type="dxa"/>
            <w:vAlign w:val="bottom"/>
          </w:tcPr>
          <w:p>
            <w:pPr>
              <w:spacing w:after="0"/>
              <w:rPr>
                <w:sz w:val="16"/>
                <w:szCs w:val="16"/>
                <w:color w:val="auto"/>
              </w:rPr>
            </w:pPr>
          </w:p>
        </w:tc>
        <w:tc>
          <w:tcPr>
            <w:tcW w:w="1540" w:type="dxa"/>
            <w:vAlign w:val="bottom"/>
            <w:tcBorders>
              <w:bottom w:val="single" w:sz="8" w:color="002F4D"/>
            </w:tcBorders>
          </w:tcPr>
          <w:p>
            <w:pPr>
              <w:spacing w:after="0"/>
              <w:rPr>
                <w:sz w:val="16"/>
                <w:szCs w:val="16"/>
                <w:color w:val="auto"/>
              </w:rPr>
            </w:pPr>
          </w:p>
        </w:tc>
        <w:tc>
          <w:tcPr>
            <w:tcW w:w="2260" w:type="dxa"/>
            <w:vAlign w:val="bottom"/>
            <w:tcBorders>
              <w:bottom w:val="single" w:sz="8" w:color="002F4D"/>
            </w:tcBorders>
            <w:gridSpan w:val="2"/>
          </w:tcPr>
          <w:p>
            <w:pPr>
              <w:jc w:val="right"/>
              <w:ind w:right="184"/>
              <w:spacing w:after="0"/>
              <w:rPr>
                <w:sz w:val="20"/>
                <w:szCs w:val="20"/>
                <w:color w:val="auto"/>
              </w:rPr>
            </w:pPr>
            <w:r>
              <w:rPr>
                <w:rFonts w:ascii="Arial" w:cs="Arial" w:eastAsia="Arial" w:hAnsi="Arial"/>
                <w:sz w:val="15"/>
                <w:szCs w:val="15"/>
                <w:b w:val="1"/>
                <w:bCs w:val="1"/>
                <w:color w:val="auto"/>
              </w:rPr>
              <w:t>Diluted per share</w:t>
            </w:r>
          </w:p>
        </w:tc>
        <w:tc>
          <w:tcPr>
            <w:tcW w:w="1020" w:type="dxa"/>
            <w:vAlign w:val="bottom"/>
            <w:tcBorders>
              <w:bottom w:val="single" w:sz="8" w:color="002F4D"/>
            </w:tcBorders>
          </w:tcPr>
          <w:p>
            <w:pPr>
              <w:spacing w:after="0"/>
              <w:rPr>
                <w:sz w:val="16"/>
                <w:szCs w:val="16"/>
                <w:color w:val="auto"/>
              </w:rPr>
            </w:pPr>
          </w:p>
        </w:tc>
        <w:tc>
          <w:tcPr>
            <w:tcW w:w="780" w:type="dxa"/>
            <w:vAlign w:val="bottom"/>
            <w:tcBorders>
              <w:bottom w:val="single" w:sz="8" w:color="002F4D"/>
            </w:tcBorders>
          </w:tcPr>
          <w:p>
            <w:pPr>
              <w:spacing w:after="0"/>
              <w:rPr>
                <w:sz w:val="16"/>
                <w:szCs w:val="16"/>
                <w:color w:val="auto"/>
              </w:rPr>
            </w:pPr>
          </w:p>
        </w:tc>
      </w:tr>
      <w:tr>
        <w:trPr>
          <w:trHeight w:val="182"/>
        </w:trPr>
        <w:tc>
          <w:tcPr>
            <w:tcW w:w="5640" w:type="dxa"/>
            <w:vAlign w:val="bottom"/>
          </w:tcPr>
          <w:p>
            <w:pPr>
              <w:spacing w:after="0"/>
              <w:rPr>
                <w:sz w:val="15"/>
                <w:szCs w:val="15"/>
                <w:color w:val="auto"/>
              </w:rPr>
            </w:pPr>
          </w:p>
        </w:tc>
        <w:tc>
          <w:tcPr>
            <w:tcW w:w="1540" w:type="dxa"/>
            <w:vAlign w:val="bottom"/>
          </w:tcPr>
          <w:p>
            <w:pPr>
              <w:jc w:val="right"/>
              <w:ind w:right="305"/>
              <w:spacing w:after="0" w:line="183" w:lineRule="exact"/>
              <w:rPr>
                <w:sz w:val="20"/>
                <w:szCs w:val="20"/>
                <w:color w:val="auto"/>
              </w:rPr>
            </w:pPr>
            <w:r>
              <w:rPr>
                <w:rFonts w:ascii="Arial" w:cs="Arial" w:eastAsia="Arial" w:hAnsi="Arial"/>
                <w:sz w:val="13"/>
                <w:szCs w:val="13"/>
                <w:b w:val="1"/>
                <w:bCs w:val="1"/>
                <w:color w:val="auto"/>
              </w:rPr>
              <w:t>2025</w:t>
            </w:r>
            <w:r>
              <w:rPr>
                <w:rFonts w:ascii="Arial" w:cs="Arial" w:eastAsia="Arial" w:hAnsi="Arial"/>
                <w:sz w:val="21"/>
                <w:szCs w:val="21"/>
                <w:b w:val="1"/>
                <w:bCs w:val="1"/>
                <w:color w:val="auto"/>
                <w:vertAlign w:val="superscript"/>
              </w:rPr>
              <w:t>(3)</w:t>
            </w:r>
          </w:p>
        </w:tc>
        <w:tc>
          <w:tcPr>
            <w:tcW w:w="1100" w:type="dxa"/>
            <w:vAlign w:val="bottom"/>
          </w:tcPr>
          <w:p>
            <w:pPr>
              <w:jc w:val="right"/>
              <w:ind w:right="324"/>
              <w:spacing w:after="0"/>
              <w:rPr>
                <w:sz w:val="20"/>
                <w:szCs w:val="20"/>
                <w:color w:val="auto"/>
              </w:rPr>
            </w:pPr>
            <w:r>
              <w:rPr>
                <w:rFonts w:ascii="Arial" w:cs="Arial" w:eastAsia="Arial" w:hAnsi="Arial"/>
                <w:sz w:val="15"/>
                <w:szCs w:val="15"/>
                <w:b w:val="1"/>
                <w:bCs w:val="1"/>
                <w:color w:val="auto"/>
              </w:rPr>
              <w:t>2024</w:t>
            </w:r>
          </w:p>
        </w:tc>
        <w:tc>
          <w:tcPr>
            <w:tcW w:w="1160" w:type="dxa"/>
            <w:vAlign w:val="bottom"/>
          </w:tcPr>
          <w:p>
            <w:pPr>
              <w:jc w:val="right"/>
              <w:ind w:right="384"/>
              <w:spacing w:after="0"/>
              <w:rPr>
                <w:sz w:val="20"/>
                <w:szCs w:val="20"/>
                <w:color w:val="auto"/>
              </w:rPr>
            </w:pPr>
            <w:r>
              <w:rPr>
                <w:rFonts w:ascii="Arial" w:cs="Arial" w:eastAsia="Arial" w:hAnsi="Arial"/>
                <w:sz w:val="15"/>
                <w:szCs w:val="15"/>
                <w:b w:val="1"/>
                <w:bCs w:val="1"/>
                <w:color w:val="auto"/>
              </w:rPr>
              <w:t>2023</w:t>
            </w:r>
          </w:p>
        </w:tc>
        <w:tc>
          <w:tcPr>
            <w:tcW w:w="1020" w:type="dxa"/>
            <w:vAlign w:val="bottom"/>
          </w:tcPr>
          <w:p>
            <w:pPr>
              <w:jc w:val="right"/>
              <w:ind w:right="324"/>
              <w:spacing w:after="0"/>
              <w:rPr>
                <w:sz w:val="20"/>
                <w:szCs w:val="20"/>
                <w:color w:val="auto"/>
              </w:rPr>
            </w:pPr>
            <w:r>
              <w:rPr>
                <w:rFonts w:ascii="Arial" w:cs="Arial" w:eastAsia="Arial" w:hAnsi="Arial"/>
                <w:sz w:val="15"/>
                <w:szCs w:val="15"/>
                <w:b w:val="1"/>
                <w:bCs w:val="1"/>
                <w:color w:val="auto"/>
              </w:rPr>
              <w:t>2022</w:t>
            </w:r>
          </w:p>
        </w:tc>
        <w:tc>
          <w:tcPr>
            <w:tcW w:w="780" w:type="dxa"/>
            <w:vAlign w:val="bottom"/>
          </w:tcPr>
          <w:p>
            <w:pPr>
              <w:jc w:val="right"/>
              <w:ind w:right="24"/>
              <w:spacing w:after="0"/>
              <w:rPr>
                <w:sz w:val="20"/>
                <w:szCs w:val="20"/>
                <w:color w:val="auto"/>
              </w:rPr>
            </w:pPr>
            <w:r>
              <w:rPr>
                <w:rFonts w:ascii="Arial" w:cs="Arial" w:eastAsia="Arial" w:hAnsi="Arial"/>
                <w:sz w:val="15"/>
                <w:szCs w:val="15"/>
                <w:b w:val="1"/>
                <w:bCs w:val="1"/>
                <w:color w:val="auto"/>
              </w:rPr>
              <w:t>2021</w:t>
            </w:r>
          </w:p>
        </w:tc>
      </w:tr>
      <w:tr>
        <w:trPr>
          <w:trHeight w:val="189"/>
        </w:trPr>
        <w:tc>
          <w:tcPr>
            <w:tcW w:w="5640" w:type="dxa"/>
            <w:vAlign w:val="bottom"/>
            <w:tcBorders>
              <w:bottom w:val="single" w:sz="8" w:color="002F4D"/>
            </w:tcBorders>
          </w:tcPr>
          <w:p>
            <w:pPr>
              <w:spacing w:after="0"/>
              <w:rPr>
                <w:sz w:val="16"/>
                <w:szCs w:val="16"/>
                <w:color w:val="auto"/>
              </w:rPr>
            </w:pPr>
          </w:p>
        </w:tc>
        <w:tc>
          <w:tcPr>
            <w:tcW w:w="1540" w:type="dxa"/>
            <w:vAlign w:val="bottom"/>
            <w:tcBorders>
              <w:bottom w:val="single" w:sz="8" w:color="002F4D"/>
            </w:tcBorders>
          </w:tcPr>
          <w:p>
            <w:pPr>
              <w:jc w:val="right"/>
              <w:ind w:right="445"/>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002F4D"/>
            </w:tcBorders>
          </w:tcPr>
          <w:p>
            <w:pPr>
              <w:jc w:val="right"/>
              <w:ind w:right="324"/>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002F4D"/>
            </w:tcBorders>
          </w:tcPr>
          <w:p>
            <w:pPr>
              <w:jc w:val="right"/>
              <w:ind w:right="384"/>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002F4D"/>
            </w:tcBorders>
          </w:tcPr>
          <w:p>
            <w:pPr>
              <w:jc w:val="right"/>
              <w:ind w:right="324"/>
              <w:spacing w:after="0"/>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b w:val="1"/>
                <w:bCs w:val="1"/>
                <w:color w:val="auto"/>
              </w:rPr>
              <w:t>($)</w:t>
            </w:r>
          </w:p>
        </w:tc>
      </w:tr>
      <w:tr>
        <w:trPr>
          <w:trHeight w:val="182"/>
        </w:trPr>
        <w:tc>
          <w:tcPr>
            <w:tcW w:w="564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Net earnings</w:t>
            </w:r>
          </w:p>
        </w:tc>
        <w:tc>
          <w:tcPr>
            <w:tcW w:w="1540" w:type="dxa"/>
            <w:vAlign w:val="bottom"/>
            <w:tcBorders>
              <w:bottom w:val="single" w:sz="8" w:color="002F4D"/>
            </w:tcBorders>
          </w:tcPr>
          <w:p>
            <w:pPr>
              <w:jc w:val="right"/>
              <w:ind w:right="445"/>
              <w:spacing w:after="0"/>
              <w:rPr>
                <w:sz w:val="20"/>
                <w:szCs w:val="20"/>
                <w:color w:val="auto"/>
              </w:rPr>
            </w:pPr>
            <w:r>
              <w:rPr>
                <w:rFonts w:ascii="Arial" w:cs="Arial" w:eastAsia="Arial" w:hAnsi="Arial"/>
                <w:sz w:val="15"/>
                <w:szCs w:val="15"/>
                <w:color w:val="auto"/>
              </w:rPr>
              <w:t>7.04</w:t>
            </w:r>
          </w:p>
        </w:tc>
        <w:tc>
          <w:tcPr>
            <w:tcW w:w="1100" w:type="dxa"/>
            <w:vAlign w:val="bottom"/>
            <w:tcBorders>
              <w:bottom w:val="single" w:sz="8" w:color="002F4D"/>
            </w:tcBorders>
          </w:tcPr>
          <w:p>
            <w:pPr>
              <w:jc w:val="right"/>
              <w:ind w:right="324"/>
              <w:spacing w:after="0"/>
              <w:rPr>
                <w:sz w:val="20"/>
                <w:szCs w:val="20"/>
                <w:color w:val="auto"/>
              </w:rPr>
            </w:pPr>
            <w:r>
              <w:rPr>
                <w:rFonts w:ascii="Arial" w:cs="Arial" w:eastAsia="Arial" w:hAnsi="Arial"/>
                <w:sz w:val="15"/>
                <w:szCs w:val="15"/>
                <w:color w:val="auto"/>
              </w:rPr>
              <w:t>7.90</w:t>
            </w:r>
          </w:p>
        </w:tc>
        <w:tc>
          <w:tcPr>
            <w:tcW w:w="1160" w:type="dxa"/>
            <w:vAlign w:val="bottom"/>
            <w:tcBorders>
              <w:bottom w:val="single" w:sz="8" w:color="002F4D"/>
            </w:tcBorders>
          </w:tcPr>
          <w:p>
            <w:pPr>
              <w:jc w:val="right"/>
              <w:ind w:right="384"/>
              <w:spacing w:after="0"/>
              <w:rPr>
                <w:sz w:val="20"/>
                <w:szCs w:val="20"/>
                <w:color w:val="auto"/>
              </w:rPr>
            </w:pPr>
            <w:r>
              <w:rPr>
                <w:rFonts w:ascii="Arial" w:cs="Arial" w:eastAsia="Arial" w:hAnsi="Arial"/>
                <w:sz w:val="15"/>
                <w:szCs w:val="15"/>
                <w:color w:val="auto"/>
              </w:rPr>
              <w:t>7.41</w:t>
            </w:r>
          </w:p>
        </w:tc>
        <w:tc>
          <w:tcPr>
            <w:tcW w:w="1020" w:type="dxa"/>
            <w:vAlign w:val="bottom"/>
            <w:tcBorders>
              <w:bottom w:val="single" w:sz="8" w:color="002F4D"/>
            </w:tcBorders>
          </w:tcPr>
          <w:p>
            <w:pPr>
              <w:jc w:val="right"/>
              <w:ind w:right="324"/>
              <w:spacing w:after="0"/>
              <w:rPr>
                <w:sz w:val="20"/>
                <w:szCs w:val="20"/>
                <w:color w:val="auto"/>
              </w:rPr>
            </w:pPr>
            <w:r>
              <w:rPr>
                <w:rFonts w:ascii="Arial" w:cs="Arial" w:eastAsia="Arial" w:hAnsi="Arial"/>
                <w:sz w:val="15"/>
                <w:szCs w:val="15"/>
                <w:color w:val="auto"/>
              </w:rPr>
              <w:t>7.95</w:t>
            </w:r>
          </w:p>
        </w:tc>
        <w:tc>
          <w:tcPr>
            <w:tcW w:w="78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8.62</w:t>
            </w:r>
          </w:p>
        </w:tc>
      </w:tr>
      <w:tr>
        <w:trPr>
          <w:trHeight w:val="220"/>
        </w:trPr>
        <w:tc>
          <w:tcPr>
            <w:tcW w:w="5640" w:type="dxa"/>
            <w:vAlign w:val="bottom"/>
            <w:tcBorders>
              <w:bottom w:val="single" w:sz="8" w:color="002F4D"/>
            </w:tcBorders>
          </w:tcPr>
          <w:p>
            <w:pPr>
              <w:ind w:left="60"/>
              <w:spacing w:after="0" w:line="220" w:lineRule="exact"/>
              <w:rPr>
                <w:sz w:val="20"/>
                <w:szCs w:val="20"/>
                <w:color w:val="auto"/>
              </w:rPr>
            </w:pPr>
            <w:r>
              <w:rPr>
                <w:rFonts w:ascii="Arial" w:cs="Arial" w:eastAsia="Arial" w:hAnsi="Arial"/>
                <w:sz w:val="15"/>
                <w:szCs w:val="15"/>
                <w:color w:val="auto"/>
              </w:rPr>
              <w:t>Amortization</w:t>
            </w:r>
            <w:r>
              <w:rPr>
                <w:rFonts w:ascii="Arial" w:cs="Arial" w:eastAsia="Arial" w:hAnsi="Arial"/>
                <w:sz w:val="25"/>
                <w:szCs w:val="25"/>
                <w:color w:val="auto"/>
                <w:vertAlign w:val="superscript"/>
              </w:rPr>
              <w:t>(1)</w:t>
            </w:r>
          </w:p>
        </w:tc>
        <w:tc>
          <w:tcPr>
            <w:tcW w:w="1540" w:type="dxa"/>
            <w:vAlign w:val="bottom"/>
            <w:tcBorders>
              <w:bottom w:val="single" w:sz="8" w:color="002F4D"/>
            </w:tcBorders>
          </w:tcPr>
          <w:p>
            <w:pPr>
              <w:jc w:val="right"/>
              <w:ind w:right="445"/>
              <w:spacing w:after="0"/>
              <w:rPr>
                <w:sz w:val="20"/>
                <w:szCs w:val="20"/>
                <w:color w:val="auto"/>
              </w:rPr>
            </w:pPr>
            <w:r>
              <w:rPr>
                <w:rFonts w:ascii="Arial" w:cs="Arial" w:eastAsia="Arial" w:hAnsi="Arial"/>
                <w:sz w:val="15"/>
                <w:szCs w:val="15"/>
                <w:color w:val="auto"/>
              </w:rPr>
              <w:t>1.18</w:t>
            </w:r>
          </w:p>
        </w:tc>
        <w:tc>
          <w:tcPr>
            <w:tcW w:w="1100" w:type="dxa"/>
            <w:vAlign w:val="bottom"/>
            <w:tcBorders>
              <w:bottom w:val="single" w:sz="8" w:color="002F4D"/>
            </w:tcBorders>
          </w:tcPr>
          <w:p>
            <w:pPr>
              <w:jc w:val="right"/>
              <w:ind w:right="324"/>
              <w:spacing w:after="0"/>
              <w:rPr>
                <w:sz w:val="20"/>
                <w:szCs w:val="20"/>
                <w:color w:val="auto"/>
              </w:rPr>
            </w:pPr>
            <w:r>
              <w:rPr>
                <w:rFonts w:ascii="Arial" w:cs="Arial" w:eastAsia="Arial" w:hAnsi="Arial"/>
                <w:sz w:val="15"/>
                <w:szCs w:val="15"/>
                <w:color w:val="auto"/>
              </w:rPr>
              <w:t>1.32</w:t>
            </w:r>
          </w:p>
        </w:tc>
        <w:tc>
          <w:tcPr>
            <w:tcW w:w="1160" w:type="dxa"/>
            <w:vAlign w:val="bottom"/>
            <w:tcBorders>
              <w:bottom w:val="single" w:sz="8" w:color="002F4D"/>
            </w:tcBorders>
          </w:tcPr>
          <w:p>
            <w:pPr>
              <w:jc w:val="right"/>
              <w:ind w:right="384"/>
              <w:spacing w:after="0"/>
              <w:rPr>
                <w:sz w:val="20"/>
                <w:szCs w:val="20"/>
                <w:color w:val="auto"/>
              </w:rPr>
            </w:pPr>
            <w:r>
              <w:rPr>
                <w:rFonts w:ascii="Arial" w:cs="Arial" w:eastAsia="Arial" w:hAnsi="Arial"/>
                <w:sz w:val="15"/>
                <w:szCs w:val="15"/>
                <w:color w:val="auto"/>
              </w:rPr>
              <w:t>1.52</w:t>
            </w:r>
          </w:p>
        </w:tc>
        <w:tc>
          <w:tcPr>
            <w:tcW w:w="1020" w:type="dxa"/>
            <w:vAlign w:val="bottom"/>
            <w:tcBorders>
              <w:bottom w:val="single" w:sz="8" w:color="002F4D"/>
            </w:tcBorders>
          </w:tcPr>
          <w:p>
            <w:pPr>
              <w:jc w:val="right"/>
              <w:ind w:right="324"/>
              <w:spacing w:after="0"/>
              <w:rPr>
                <w:sz w:val="20"/>
                <w:szCs w:val="20"/>
                <w:color w:val="auto"/>
              </w:rPr>
            </w:pPr>
            <w:r>
              <w:rPr>
                <w:rFonts w:ascii="Arial" w:cs="Arial" w:eastAsia="Arial" w:hAnsi="Arial"/>
                <w:sz w:val="15"/>
                <w:szCs w:val="15"/>
                <w:color w:val="auto"/>
              </w:rPr>
              <w:t>1.70</w:t>
            </w:r>
          </w:p>
        </w:tc>
        <w:tc>
          <w:tcPr>
            <w:tcW w:w="78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1.46</w:t>
            </w:r>
          </w:p>
        </w:tc>
      </w:tr>
      <w:tr>
        <w:trPr>
          <w:trHeight w:val="182"/>
        </w:trPr>
        <w:tc>
          <w:tcPr>
            <w:tcW w:w="564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Restructuring expenses</w:t>
            </w:r>
          </w:p>
        </w:tc>
        <w:tc>
          <w:tcPr>
            <w:tcW w:w="1540" w:type="dxa"/>
            <w:vAlign w:val="bottom"/>
            <w:tcBorders>
              <w:bottom w:val="single" w:sz="8" w:color="002F4D"/>
            </w:tcBorders>
          </w:tcPr>
          <w:p>
            <w:pPr>
              <w:jc w:val="right"/>
              <w:ind w:right="445"/>
              <w:spacing w:after="0"/>
              <w:rPr>
                <w:sz w:val="20"/>
                <w:szCs w:val="20"/>
                <w:color w:val="auto"/>
              </w:rPr>
            </w:pPr>
            <w:r>
              <w:rPr>
                <w:rFonts w:ascii="Arial" w:cs="Arial" w:eastAsia="Arial" w:hAnsi="Arial"/>
                <w:sz w:val="15"/>
                <w:szCs w:val="15"/>
                <w:color w:val="auto"/>
              </w:rPr>
              <w:t>0.06</w:t>
            </w:r>
          </w:p>
        </w:tc>
        <w:tc>
          <w:tcPr>
            <w:tcW w:w="1100" w:type="dxa"/>
            <w:vAlign w:val="bottom"/>
            <w:tcBorders>
              <w:bottom w:val="single" w:sz="8" w:color="002F4D"/>
            </w:tcBorders>
          </w:tcPr>
          <w:p>
            <w:pPr>
              <w:jc w:val="right"/>
              <w:ind w:right="324"/>
              <w:spacing w:after="0"/>
              <w:rPr>
                <w:sz w:val="20"/>
                <w:szCs w:val="20"/>
                <w:color w:val="auto"/>
              </w:rPr>
            </w:pPr>
            <w:r>
              <w:rPr>
                <w:rFonts w:ascii="Arial" w:cs="Arial" w:eastAsia="Arial" w:hAnsi="Arial"/>
                <w:sz w:val="15"/>
                <w:szCs w:val="15"/>
                <w:color w:val="auto"/>
              </w:rPr>
              <w:t>0.26</w:t>
            </w:r>
          </w:p>
        </w:tc>
        <w:tc>
          <w:tcPr>
            <w:tcW w:w="1160" w:type="dxa"/>
            <w:vAlign w:val="bottom"/>
            <w:tcBorders>
              <w:bottom w:val="single" w:sz="8" w:color="002F4D"/>
            </w:tcBorders>
          </w:tcPr>
          <w:p>
            <w:pPr>
              <w:jc w:val="right"/>
              <w:ind w:right="384"/>
              <w:spacing w:after="0"/>
              <w:rPr>
                <w:sz w:val="20"/>
                <w:szCs w:val="20"/>
                <w:color w:val="auto"/>
              </w:rPr>
            </w:pPr>
            <w:r>
              <w:rPr>
                <w:rFonts w:ascii="Arial" w:cs="Arial" w:eastAsia="Arial" w:hAnsi="Arial"/>
                <w:sz w:val="15"/>
                <w:szCs w:val="15"/>
                <w:color w:val="auto"/>
              </w:rPr>
              <w:t>0.26</w:t>
            </w:r>
          </w:p>
        </w:tc>
        <w:tc>
          <w:tcPr>
            <w:tcW w:w="1020" w:type="dxa"/>
            <w:vAlign w:val="bottom"/>
            <w:tcBorders>
              <w:bottom w:val="single" w:sz="8" w:color="002F4D"/>
            </w:tcBorders>
          </w:tcPr>
          <w:p>
            <w:pPr>
              <w:jc w:val="right"/>
              <w:ind w:right="324"/>
              <w:spacing w:after="0"/>
              <w:rPr>
                <w:sz w:val="20"/>
                <w:szCs w:val="20"/>
                <w:color w:val="auto"/>
              </w:rPr>
            </w:pPr>
            <w:r>
              <w:rPr>
                <w:rFonts w:ascii="Arial" w:cs="Arial" w:eastAsia="Arial" w:hAnsi="Arial"/>
                <w:sz w:val="15"/>
                <w:szCs w:val="15"/>
                <w:color w:val="auto"/>
              </w:rPr>
              <w:t>0.18</w:t>
            </w:r>
          </w:p>
        </w:tc>
        <w:tc>
          <w:tcPr>
            <w:tcW w:w="78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0.14</w:t>
            </w:r>
          </w:p>
        </w:tc>
      </w:tr>
      <w:tr>
        <w:trPr>
          <w:trHeight w:val="182"/>
        </w:trPr>
        <w:tc>
          <w:tcPr>
            <w:tcW w:w="564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Acquisition related adjustments</w:t>
            </w:r>
          </w:p>
        </w:tc>
        <w:tc>
          <w:tcPr>
            <w:tcW w:w="1540" w:type="dxa"/>
            <w:vAlign w:val="bottom"/>
            <w:tcBorders>
              <w:bottom w:val="single" w:sz="8" w:color="002F4D"/>
            </w:tcBorders>
          </w:tcPr>
          <w:p>
            <w:pPr>
              <w:jc w:val="right"/>
              <w:ind w:right="405"/>
              <w:spacing w:after="0"/>
              <w:rPr>
                <w:sz w:val="20"/>
                <w:szCs w:val="20"/>
                <w:color w:val="auto"/>
              </w:rPr>
            </w:pPr>
            <w:r>
              <w:rPr>
                <w:rFonts w:ascii="Arial" w:cs="Arial" w:eastAsia="Arial" w:hAnsi="Arial"/>
                <w:sz w:val="15"/>
                <w:szCs w:val="15"/>
                <w:color w:val="auto"/>
              </w:rPr>
              <w:t>(0.02)</w:t>
            </w:r>
          </w:p>
        </w:tc>
        <w:tc>
          <w:tcPr>
            <w:tcW w:w="1100" w:type="dxa"/>
            <w:vAlign w:val="bottom"/>
            <w:tcBorders>
              <w:bottom w:val="single" w:sz="8" w:color="002F4D"/>
            </w:tcBorders>
          </w:tcPr>
          <w:p>
            <w:pPr>
              <w:jc w:val="right"/>
              <w:ind w:right="324"/>
              <w:spacing w:after="0"/>
              <w:rPr>
                <w:sz w:val="20"/>
                <w:szCs w:val="20"/>
                <w:color w:val="auto"/>
              </w:rPr>
            </w:pPr>
            <w:r>
              <w:rPr>
                <w:rFonts w:ascii="Arial" w:cs="Arial" w:eastAsia="Arial" w:hAnsi="Arial"/>
                <w:sz w:val="15"/>
                <w:szCs w:val="15"/>
                <w:color w:val="auto"/>
              </w:rPr>
              <w:t>0.02</w:t>
            </w:r>
          </w:p>
        </w:tc>
        <w:tc>
          <w:tcPr>
            <w:tcW w:w="1160" w:type="dxa"/>
            <w:vAlign w:val="bottom"/>
            <w:tcBorders>
              <w:bottom w:val="single" w:sz="8" w:color="002F4D"/>
            </w:tcBorders>
          </w:tcPr>
          <w:p>
            <w:pPr>
              <w:jc w:val="right"/>
              <w:ind w:right="344"/>
              <w:spacing w:after="0"/>
              <w:rPr>
                <w:sz w:val="20"/>
                <w:szCs w:val="20"/>
                <w:color w:val="auto"/>
              </w:rPr>
            </w:pPr>
            <w:r>
              <w:rPr>
                <w:rFonts w:ascii="Arial" w:cs="Arial" w:eastAsia="Arial" w:hAnsi="Arial"/>
                <w:sz w:val="15"/>
                <w:szCs w:val="15"/>
                <w:color w:val="auto"/>
              </w:rPr>
              <w:t>(0.07)</w:t>
            </w:r>
          </w:p>
        </w:tc>
        <w:tc>
          <w:tcPr>
            <w:tcW w:w="1020" w:type="dxa"/>
            <w:vAlign w:val="bottom"/>
            <w:tcBorders>
              <w:bottom w:val="single" w:sz="8" w:color="002F4D"/>
            </w:tcBorders>
          </w:tcPr>
          <w:p>
            <w:pPr>
              <w:jc w:val="right"/>
              <w:ind w:right="324"/>
              <w:spacing w:after="0"/>
              <w:rPr>
                <w:sz w:val="20"/>
                <w:szCs w:val="20"/>
                <w:color w:val="auto"/>
              </w:rPr>
            </w:pPr>
            <w:r>
              <w:rPr>
                <w:rFonts w:ascii="Arial" w:cs="Arial" w:eastAsia="Arial" w:hAnsi="Arial"/>
                <w:sz w:val="15"/>
                <w:szCs w:val="15"/>
                <w:color w:val="auto"/>
              </w:rPr>
              <w:t>0.25</w:t>
            </w:r>
          </w:p>
        </w:tc>
        <w:tc>
          <w:tcPr>
            <w:tcW w:w="78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0.07</w:t>
            </w:r>
          </w:p>
        </w:tc>
      </w:tr>
      <w:tr>
        <w:trPr>
          <w:trHeight w:val="182"/>
        </w:trPr>
        <w:tc>
          <w:tcPr>
            <w:tcW w:w="564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Facility consolidation related expenses</w:t>
            </w:r>
          </w:p>
        </w:tc>
        <w:tc>
          <w:tcPr>
            <w:tcW w:w="1540" w:type="dxa"/>
            <w:vAlign w:val="bottom"/>
            <w:tcBorders>
              <w:bottom w:val="single" w:sz="8" w:color="002F4D"/>
            </w:tcBorders>
          </w:tcPr>
          <w:p>
            <w:pPr>
              <w:spacing w:after="0"/>
              <w:rPr>
                <w:sz w:val="15"/>
                <w:szCs w:val="15"/>
                <w:color w:val="auto"/>
              </w:rPr>
            </w:pPr>
          </w:p>
        </w:tc>
        <w:tc>
          <w:tcPr>
            <w:tcW w:w="1100" w:type="dxa"/>
            <w:vAlign w:val="bottom"/>
            <w:tcBorders>
              <w:bottom w:val="single" w:sz="8" w:color="002F4D"/>
            </w:tcBorders>
          </w:tcPr>
          <w:p>
            <w:pPr>
              <w:jc w:val="right"/>
              <w:ind w:right="324"/>
              <w:spacing w:after="0"/>
              <w:rPr>
                <w:sz w:val="20"/>
                <w:szCs w:val="20"/>
                <w:color w:val="auto"/>
              </w:rPr>
            </w:pPr>
            <w:r>
              <w:rPr>
                <w:rFonts w:ascii="Arial" w:cs="Arial" w:eastAsia="Arial" w:hAnsi="Arial"/>
                <w:sz w:val="15"/>
                <w:szCs w:val="15"/>
                <w:color w:val="auto"/>
              </w:rPr>
              <w:t>0.02</w:t>
            </w:r>
          </w:p>
        </w:tc>
        <w:tc>
          <w:tcPr>
            <w:tcW w:w="1160" w:type="dxa"/>
            <w:vAlign w:val="bottom"/>
            <w:tcBorders>
              <w:bottom w:val="single" w:sz="8" w:color="002F4D"/>
            </w:tcBorders>
          </w:tcPr>
          <w:p>
            <w:pPr>
              <w:spacing w:after="0"/>
              <w:rPr>
                <w:sz w:val="15"/>
                <w:szCs w:val="15"/>
                <w:color w:val="auto"/>
              </w:rPr>
            </w:pPr>
          </w:p>
        </w:tc>
        <w:tc>
          <w:tcPr>
            <w:tcW w:w="1020" w:type="dxa"/>
            <w:vAlign w:val="bottom"/>
            <w:tcBorders>
              <w:bottom w:val="single" w:sz="8" w:color="002F4D"/>
            </w:tcBorders>
          </w:tcPr>
          <w:p>
            <w:pPr>
              <w:spacing w:after="0"/>
              <w:rPr>
                <w:sz w:val="15"/>
                <w:szCs w:val="15"/>
                <w:color w:val="auto"/>
              </w:rPr>
            </w:pPr>
          </w:p>
        </w:tc>
        <w:tc>
          <w:tcPr>
            <w:tcW w:w="78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0.02</w:t>
            </w:r>
          </w:p>
        </w:tc>
      </w:tr>
      <w:tr>
        <w:trPr>
          <w:trHeight w:val="182"/>
        </w:trPr>
        <w:tc>
          <w:tcPr>
            <w:tcW w:w="564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Net periodic pension benefit (other than service costs &amp; curtailment)</w:t>
            </w:r>
          </w:p>
        </w:tc>
        <w:tc>
          <w:tcPr>
            <w:tcW w:w="1540" w:type="dxa"/>
            <w:vAlign w:val="bottom"/>
            <w:tcBorders>
              <w:bottom w:val="single" w:sz="8" w:color="002F4D"/>
            </w:tcBorders>
          </w:tcPr>
          <w:p>
            <w:pPr>
              <w:jc w:val="right"/>
              <w:ind w:right="405"/>
              <w:spacing w:after="0"/>
              <w:rPr>
                <w:sz w:val="20"/>
                <w:szCs w:val="20"/>
                <w:color w:val="auto"/>
              </w:rPr>
            </w:pPr>
            <w:r>
              <w:rPr>
                <w:rFonts w:ascii="Arial" w:cs="Arial" w:eastAsia="Arial" w:hAnsi="Arial"/>
                <w:sz w:val="15"/>
                <w:szCs w:val="15"/>
                <w:color w:val="auto"/>
              </w:rPr>
              <w:t>(0.12)</w:t>
            </w:r>
          </w:p>
        </w:tc>
        <w:tc>
          <w:tcPr>
            <w:tcW w:w="1100" w:type="dxa"/>
            <w:vAlign w:val="bottom"/>
            <w:tcBorders>
              <w:bottom w:val="single" w:sz="8" w:color="002F4D"/>
            </w:tcBorders>
          </w:tcPr>
          <w:p>
            <w:pPr>
              <w:jc w:val="right"/>
              <w:ind w:right="264"/>
              <w:spacing w:after="0"/>
              <w:rPr>
                <w:sz w:val="20"/>
                <w:szCs w:val="20"/>
                <w:color w:val="auto"/>
              </w:rPr>
            </w:pPr>
            <w:r>
              <w:rPr>
                <w:rFonts w:ascii="Arial" w:cs="Arial" w:eastAsia="Arial" w:hAnsi="Arial"/>
                <w:sz w:val="15"/>
                <w:szCs w:val="15"/>
                <w:color w:val="auto"/>
              </w:rPr>
              <w:t>(0.27)</w:t>
            </w:r>
          </w:p>
        </w:tc>
        <w:tc>
          <w:tcPr>
            <w:tcW w:w="1160" w:type="dxa"/>
            <w:vAlign w:val="bottom"/>
            <w:tcBorders>
              <w:bottom w:val="single" w:sz="8" w:color="002F4D"/>
            </w:tcBorders>
          </w:tcPr>
          <w:p>
            <w:pPr>
              <w:jc w:val="right"/>
              <w:ind w:right="344"/>
              <w:spacing w:after="0"/>
              <w:rPr>
                <w:sz w:val="20"/>
                <w:szCs w:val="20"/>
                <w:color w:val="auto"/>
              </w:rPr>
            </w:pPr>
            <w:r>
              <w:rPr>
                <w:rFonts w:ascii="Arial" w:cs="Arial" w:eastAsia="Arial" w:hAnsi="Arial"/>
                <w:sz w:val="15"/>
                <w:szCs w:val="15"/>
                <w:color w:val="auto"/>
              </w:rPr>
              <w:t>(0.17)</w:t>
            </w:r>
          </w:p>
        </w:tc>
        <w:tc>
          <w:tcPr>
            <w:tcW w:w="1020" w:type="dxa"/>
            <w:vAlign w:val="bottom"/>
            <w:tcBorders>
              <w:bottom w:val="single" w:sz="8" w:color="002F4D"/>
            </w:tcBorders>
          </w:tcPr>
          <w:p>
            <w:pPr>
              <w:jc w:val="right"/>
              <w:ind w:right="264"/>
              <w:spacing w:after="0"/>
              <w:rPr>
                <w:sz w:val="20"/>
                <w:szCs w:val="20"/>
                <w:color w:val="auto"/>
              </w:rPr>
            </w:pPr>
            <w:r>
              <w:rPr>
                <w:rFonts w:ascii="Arial" w:cs="Arial" w:eastAsia="Arial" w:hAnsi="Arial"/>
                <w:sz w:val="15"/>
                <w:szCs w:val="15"/>
                <w:color w:val="auto"/>
              </w:rPr>
              <w:t>(0.78)</w:t>
            </w:r>
          </w:p>
        </w:tc>
        <w:tc>
          <w:tcPr>
            <w:tcW w:w="78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(0.8)</w:t>
            </w:r>
          </w:p>
        </w:tc>
      </w:tr>
      <w:tr>
        <w:trPr>
          <w:trHeight w:val="182"/>
        </w:trPr>
        <w:tc>
          <w:tcPr>
            <w:tcW w:w="564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Strategic transaction costs</w:t>
            </w:r>
          </w:p>
        </w:tc>
        <w:tc>
          <w:tcPr>
            <w:tcW w:w="1540" w:type="dxa"/>
            <w:vAlign w:val="bottom"/>
            <w:tcBorders>
              <w:bottom w:val="single" w:sz="8" w:color="002F4D"/>
            </w:tcBorders>
          </w:tcPr>
          <w:p>
            <w:pPr>
              <w:jc w:val="right"/>
              <w:ind w:right="445"/>
              <w:spacing w:after="0"/>
              <w:rPr>
                <w:sz w:val="20"/>
                <w:szCs w:val="20"/>
                <w:color w:val="auto"/>
              </w:rPr>
            </w:pPr>
            <w:r>
              <w:rPr>
                <w:rFonts w:ascii="Arial" w:cs="Arial" w:eastAsia="Arial" w:hAnsi="Arial"/>
                <w:sz w:val="15"/>
                <w:szCs w:val="15"/>
                <w:color w:val="auto"/>
              </w:rPr>
              <w:t>0.37</w:t>
            </w:r>
          </w:p>
        </w:tc>
        <w:tc>
          <w:tcPr>
            <w:tcW w:w="1100" w:type="dxa"/>
            <w:vAlign w:val="bottom"/>
            <w:tcBorders>
              <w:bottom w:val="single" w:sz="8" w:color="002F4D"/>
            </w:tcBorders>
          </w:tcPr>
          <w:p>
            <w:pPr>
              <w:spacing w:after="0"/>
              <w:rPr>
                <w:sz w:val="15"/>
                <w:szCs w:val="15"/>
                <w:color w:val="auto"/>
              </w:rPr>
            </w:pPr>
          </w:p>
        </w:tc>
        <w:tc>
          <w:tcPr>
            <w:tcW w:w="1160" w:type="dxa"/>
            <w:vAlign w:val="bottom"/>
            <w:tcBorders>
              <w:bottom w:val="single" w:sz="8" w:color="002F4D"/>
            </w:tcBorders>
          </w:tcPr>
          <w:p>
            <w:pPr>
              <w:spacing w:after="0"/>
              <w:rPr>
                <w:sz w:val="15"/>
                <w:szCs w:val="15"/>
                <w:color w:val="auto"/>
              </w:rPr>
            </w:pPr>
          </w:p>
        </w:tc>
        <w:tc>
          <w:tcPr>
            <w:tcW w:w="1020" w:type="dxa"/>
            <w:vAlign w:val="bottom"/>
            <w:tcBorders>
              <w:bottom w:val="single" w:sz="8" w:color="002F4D"/>
            </w:tcBorders>
          </w:tcPr>
          <w:p>
            <w:pPr>
              <w:spacing w:after="0"/>
              <w:rPr>
                <w:sz w:val="15"/>
                <w:szCs w:val="15"/>
                <w:color w:val="auto"/>
              </w:rPr>
            </w:pPr>
          </w:p>
        </w:tc>
        <w:tc>
          <w:tcPr>
            <w:tcW w:w="780" w:type="dxa"/>
            <w:vAlign w:val="bottom"/>
            <w:tcBorders>
              <w:bottom w:val="single" w:sz="8" w:color="002F4D"/>
            </w:tcBorders>
          </w:tcPr>
          <w:p>
            <w:pPr>
              <w:spacing w:after="0"/>
              <w:rPr>
                <w:sz w:val="15"/>
                <w:szCs w:val="15"/>
                <w:color w:val="auto"/>
              </w:rPr>
            </w:pPr>
          </w:p>
        </w:tc>
      </w:tr>
      <w:tr>
        <w:trPr>
          <w:trHeight w:val="182"/>
        </w:trPr>
        <w:tc>
          <w:tcPr>
            <w:tcW w:w="564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Merger termination fee, net deal costs</w:t>
            </w:r>
          </w:p>
        </w:tc>
        <w:tc>
          <w:tcPr>
            <w:tcW w:w="1540" w:type="dxa"/>
            <w:vAlign w:val="bottom"/>
            <w:tcBorders>
              <w:bottom w:val="single" w:sz="8" w:color="002F4D"/>
            </w:tcBorders>
          </w:tcPr>
          <w:p>
            <w:pPr>
              <w:spacing w:after="0"/>
              <w:rPr>
                <w:sz w:val="15"/>
                <w:szCs w:val="15"/>
                <w:color w:val="auto"/>
              </w:rPr>
            </w:pPr>
          </w:p>
        </w:tc>
        <w:tc>
          <w:tcPr>
            <w:tcW w:w="1100" w:type="dxa"/>
            <w:vAlign w:val="bottom"/>
            <w:tcBorders>
              <w:bottom w:val="single" w:sz="8" w:color="002F4D"/>
            </w:tcBorders>
          </w:tcPr>
          <w:p>
            <w:pPr>
              <w:spacing w:after="0"/>
              <w:rPr>
                <w:sz w:val="15"/>
                <w:szCs w:val="15"/>
                <w:color w:val="auto"/>
              </w:rPr>
            </w:pPr>
          </w:p>
        </w:tc>
        <w:tc>
          <w:tcPr>
            <w:tcW w:w="1160" w:type="dxa"/>
            <w:vAlign w:val="bottom"/>
            <w:tcBorders>
              <w:bottom w:val="single" w:sz="8" w:color="002F4D"/>
            </w:tcBorders>
          </w:tcPr>
          <w:p>
            <w:pPr>
              <w:spacing w:after="0"/>
              <w:rPr>
                <w:sz w:val="15"/>
                <w:szCs w:val="15"/>
                <w:color w:val="auto"/>
              </w:rPr>
            </w:pPr>
          </w:p>
        </w:tc>
        <w:tc>
          <w:tcPr>
            <w:tcW w:w="1020" w:type="dxa"/>
            <w:vAlign w:val="bottom"/>
            <w:tcBorders>
              <w:bottom w:val="single" w:sz="8" w:color="002F4D"/>
            </w:tcBorders>
          </w:tcPr>
          <w:p>
            <w:pPr>
              <w:spacing w:after="0"/>
              <w:rPr>
                <w:sz w:val="15"/>
                <w:szCs w:val="15"/>
                <w:color w:val="auto"/>
              </w:rPr>
            </w:pPr>
          </w:p>
        </w:tc>
        <w:tc>
          <w:tcPr>
            <w:tcW w:w="78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(1.59)</w:t>
            </w:r>
          </w:p>
        </w:tc>
      </w:tr>
      <w:tr>
        <w:trPr>
          <w:trHeight w:val="182"/>
        </w:trPr>
        <w:tc>
          <w:tcPr>
            <w:tcW w:w="564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Gain on sale of plant</w:t>
            </w:r>
          </w:p>
        </w:tc>
        <w:tc>
          <w:tcPr>
            <w:tcW w:w="1540" w:type="dxa"/>
            <w:vAlign w:val="bottom"/>
            <w:tcBorders>
              <w:bottom w:val="single" w:sz="8" w:color="002F4D"/>
            </w:tcBorders>
          </w:tcPr>
          <w:p>
            <w:pPr>
              <w:spacing w:after="0"/>
              <w:rPr>
                <w:sz w:val="15"/>
                <w:szCs w:val="15"/>
                <w:color w:val="auto"/>
              </w:rPr>
            </w:pPr>
          </w:p>
        </w:tc>
        <w:tc>
          <w:tcPr>
            <w:tcW w:w="1100" w:type="dxa"/>
            <w:vAlign w:val="bottom"/>
            <w:tcBorders>
              <w:bottom w:val="single" w:sz="8" w:color="002F4D"/>
            </w:tcBorders>
          </w:tcPr>
          <w:p>
            <w:pPr>
              <w:jc w:val="right"/>
              <w:ind w:right="264"/>
              <w:spacing w:after="0"/>
              <w:rPr>
                <w:sz w:val="20"/>
                <w:szCs w:val="20"/>
                <w:color w:val="auto"/>
              </w:rPr>
            </w:pPr>
            <w:r>
              <w:rPr>
                <w:rFonts w:ascii="Arial" w:cs="Arial" w:eastAsia="Arial" w:hAnsi="Arial"/>
                <w:sz w:val="15"/>
                <w:szCs w:val="15"/>
                <w:color w:val="auto"/>
              </w:rPr>
              <w:t>(0.02)</w:t>
            </w:r>
          </w:p>
        </w:tc>
        <w:tc>
          <w:tcPr>
            <w:tcW w:w="1160" w:type="dxa"/>
            <w:vAlign w:val="bottom"/>
            <w:tcBorders>
              <w:bottom w:val="single" w:sz="8" w:color="002F4D"/>
            </w:tcBorders>
          </w:tcPr>
          <w:p>
            <w:pPr>
              <w:spacing w:after="0"/>
              <w:rPr>
                <w:sz w:val="15"/>
                <w:szCs w:val="15"/>
                <w:color w:val="auto"/>
              </w:rPr>
            </w:pPr>
          </w:p>
        </w:tc>
        <w:tc>
          <w:tcPr>
            <w:tcW w:w="1020" w:type="dxa"/>
            <w:vAlign w:val="bottom"/>
            <w:tcBorders>
              <w:bottom w:val="single" w:sz="8" w:color="002F4D"/>
            </w:tcBorders>
          </w:tcPr>
          <w:p>
            <w:pPr>
              <w:spacing w:after="0"/>
              <w:rPr>
                <w:sz w:val="15"/>
                <w:szCs w:val="15"/>
                <w:color w:val="auto"/>
              </w:rPr>
            </w:pPr>
          </w:p>
        </w:tc>
        <w:tc>
          <w:tcPr>
            <w:tcW w:w="78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(0.01)</w:t>
            </w:r>
          </w:p>
        </w:tc>
      </w:tr>
      <w:tr>
        <w:trPr>
          <w:trHeight w:val="182"/>
        </w:trPr>
        <w:tc>
          <w:tcPr>
            <w:tcW w:w="564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Impairments</w:t>
            </w:r>
          </w:p>
        </w:tc>
        <w:tc>
          <w:tcPr>
            <w:tcW w:w="1540" w:type="dxa"/>
            <w:vAlign w:val="bottom"/>
            <w:tcBorders>
              <w:bottom w:val="single" w:sz="8" w:color="002F4D"/>
            </w:tcBorders>
          </w:tcPr>
          <w:p>
            <w:pPr>
              <w:jc w:val="right"/>
              <w:ind w:right="445"/>
              <w:spacing w:after="0"/>
              <w:rPr>
                <w:sz w:val="20"/>
                <w:szCs w:val="20"/>
                <w:color w:val="auto"/>
              </w:rPr>
            </w:pPr>
            <w:r>
              <w:rPr>
                <w:rFonts w:ascii="Arial" w:cs="Arial" w:eastAsia="Arial" w:hAnsi="Arial"/>
                <w:sz w:val="15"/>
                <w:szCs w:val="15"/>
                <w:color w:val="auto"/>
              </w:rPr>
              <w:t>0.20</w:t>
            </w:r>
          </w:p>
        </w:tc>
        <w:tc>
          <w:tcPr>
            <w:tcW w:w="1100" w:type="dxa"/>
            <w:vAlign w:val="bottom"/>
            <w:tcBorders>
              <w:bottom w:val="single" w:sz="8" w:color="002F4D"/>
            </w:tcBorders>
          </w:tcPr>
          <w:p>
            <w:pPr>
              <w:jc w:val="right"/>
              <w:ind w:right="324"/>
              <w:spacing w:after="0"/>
              <w:rPr>
                <w:sz w:val="20"/>
                <w:szCs w:val="20"/>
                <w:color w:val="auto"/>
              </w:rPr>
            </w:pPr>
            <w:r>
              <w:rPr>
                <w:rFonts w:ascii="Arial" w:cs="Arial" w:eastAsia="Arial" w:hAnsi="Arial"/>
                <w:sz w:val="15"/>
                <w:szCs w:val="15"/>
                <w:color w:val="auto"/>
              </w:rPr>
              <w:t>0.71</w:t>
            </w:r>
          </w:p>
        </w:tc>
        <w:tc>
          <w:tcPr>
            <w:tcW w:w="1160" w:type="dxa"/>
            <w:vAlign w:val="bottom"/>
            <w:tcBorders>
              <w:bottom w:val="single" w:sz="8" w:color="002F4D"/>
            </w:tcBorders>
          </w:tcPr>
          <w:p>
            <w:pPr>
              <w:jc w:val="right"/>
              <w:ind w:right="384"/>
              <w:spacing w:after="0"/>
              <w:rPr>
                <w:sz w:val="20"/>
                <w:szCs w:val="20"/>
                <w:color w:val="auto"/>
              </w:rPr>
            </w:pPr>
            <w:r>
              <w:rPr>
                <w:rFonts w:ascii="Arial" w:cs="Arial" w:eastAsia="Arial" w:hAnsi="Arial"/>
                <w:sz w:val="15"/>
                <w:szCs w:val="15"/>
                <w:color w:val="auto"/>
              </w:rPr>
              <w:t>1.44</w:t>
            </w:r>
          </w:p>
        </w:tc>
        <w:tc>
          <w:tcPr>
            <w:tcW w:w="1020" w:type="dxa"/>
            <w:vAlign w:val="bottom"/>
            <w:tcBorders>
              <w:bottom w:val="single" w:sz="8" w:color="002F4D"/>
            </w:tcBorders>
          </w:tcPr>
          <w:p>
            <w:pPr>
              <w:spacing w:after="0"/>
              <w:rPr>
                <w:sz w:val="15"/>
                <w:szCs w:val="15"/>
                <w:color w:val="auto"/>
              </w:rPr>
            </w:pPr>
          </w:p>
        </w:tc>
        <w:tc>
          <w:tcPr>
            <w:tcW w:w="780" w:type="dxa"/>
            <w:vAlign w:val="bottom"/>
            <w:tcBorders>
              <w:bottom w:val="single" w:sz="8" w:color="002F4D"/>
            </w:tcBorders>
          </w:tcPr>
          <w:p>
            <w:pPr>
              <w:spacing w:after="0"/>
              <w:rPr>
                <w:sz w:val="15"/>
                <w:szCs w:val="15"/>
                <w:color w:val="auto"/>
              </w:rPr>
            </w:pPr>
          </w:p>
        </w:tc>
      </w:tr>
      <w:tr>
        <w:trPr>
          <w:trHeight w:val="182"/>
        </w:trPr>
        <w:tc>
          <w:tcPr>
            <w:tcW w:w="564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Charitable support to Ukraine</w:t>
            </w:r>
          </w:p>
        </w:tc>
        <w:tc>
          <w:tcPr>
            <w:tcW w:w="1540" w:type="dxa"/>
            <w:vAlign w:val="bottom"/>
            <w:tcBorders>
              <w:bottom w:val="single" w:sz="8" w:color="002F4D"/>
            </w:tcBorders>
          </w:tcPr>
          <w:p>
            <w:pPr>
              <w:spacing w:after="0"/>
              <w:rPr>
                <w:sz w:val="15"/>
                <w:szCs w:val="15"/>
                <w:color w:val="auto"/>
              </w:rPr>
            </w:pPr>
          </w:p>
        </w:tc>
        <w:tc>
          <w:tcPr>
            <w:tcW w:w="1100" w:type="dxa"/>
            <w:vAlign w:val="bottom"/>
            <w:tcBorders>
              <w:bottom w:val="single" w:sz="8" w:color="002F4D"/>
            </w:tcBorders>
          </w:tcPr>
          <w:p>
            <w:pPr>
              <w:jc w:val="right"/>
              <w:ind w:right="324"/>
              <w:spacing w:after="0"/>
              <w:rPr>
                <w:sz w:val="20"/>
                <w:szCs w:val="20"/>
                <w:color w:val="auto"/>
              </w:rPr>
            </w:pPr>
            <w:r>
              <w:rPr>
                <w:rFonts w:ascii="Arial" w:cs="Arial" w:eastAsia="Arial" w:hAnsi="Arial"/>
                <w:sz w:val="15"/>
                <w:szCs w:val="15"/>
                <w:color w:val="auto"/>
              </w:rPr>
              <w:t>0.01</w:t>
            </w:r>
          </w:p>
        </w:tc>
        <w:tc>
          <w:tcPr>
            <w:tcW w:w="1160" w:type="dxa"/>
            <w:vAlign w:val="bottom"/>
            <w:tcBorders>
              <w:bottom w:val="single" w:sz="8" w:color="002F4D"/>
            </w:tcBorders>
          </w:tcPr>
          <w:p>
            <w:pPr>
              <w:jc w:val="right"/>
              <w:ind w:right="384"/>
              <w:spacing w:after="0"/>
              <w:rPr>
                <w:sz w:val="20"/>
                <w:szCs w:val="20"/>
                <w:color w:val="auto"/>
              </w:rPr>
            </w:pPr>
            <w:r>
              <w:rPr>
                <w:rFonts w:ascii="Arial" w:cs="Arial" w:eastAsia="Arial" w:hAnsi="Arial"/>
                <w:sz w:val="15"/>
                <w:szCs w:val="15"/>
                <w:color w:val="auto"/>
              </w:rPr>
              <w:t>0.01</w:t>
            </w:r>
          </w:p>
        </w:tc>
        <w:tc>
          <w:tcPr>
            <w:tcW w:w="1020" w:type="dxa"/>
            <w:vAlign w:val="bottom"/>
            <w:tcBorders>
              <w:bottom w:val="single" w:sz="8" w:color="002F4D"/>
            </w:tcBorders>
          </w:tcPr>
          <w:p>
            <w:pPr>
              <w:jc w:val="right"/>
              <w:ind w:right="324"/>
              <w:spacing w:after="0"/>
              <w:rPr>
                <w:sz w:val="20"/>
                <w:szCs w:val="20"/>
                <w:color w:val="auto"/>
              </w:rPr>
            </w:pPr>
            <w:r>
              <w:rPr>
                <w:rFonts w:ascii="Arial" w:cs="Arial" w:eastAsia="Arial" w:hAnsi="Arial"/>
                <w:sz w:val="15"/>
                <w:szCs w:val="15"/>
                <w:color w:val="auto"/>
              </w:rPr>
              <w:t>0.02</w:t>
            </w:r>
          </w:p>
        </w:tc>
        <w:tc>
          <w:tcPr>
            <w:tcW w:w="780" w:type="dxa"/>
            <w:vAlign w:val="bottom"/>
            <w:tcBorders>
              <w:bottom w:val="single" w:sz="8" w:color="002F4D"/>
            </w:tcBorders>
          </w:tcPr>
          <w:p>
            <w:pPr>
              <w:spacing w:after="0"/>
              <w:rPr>
                <w:sz w:val="15"/>
                <w:szCs w:val="15"/>
                <w:color w:val="auto"/>
              </w:rPr>
            </w:pPr>
          </w:p>
        </w:tc>
      </w:tr>
      <w:tr>
        <w:trPr>
          <w:trHeight w:val="182"/>
        </w:trPr>
        <w:tc>
          <w:tcPr>
            <w:tcW w:w="564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Discrete tax adjustments</w:t>
            </w:r>
          </w:p>
        </w:tc>
        <w:tc>
          <w:tcPr>
            <w:tcW w:w="1540" w:type="dxa"/>
            <w:vAlign w:val="bottom"/>
            <w:tcBorders>
              <w:bottom w:val="single" w:sz="8" w:color="002F4D"/>
            </w:tcBorders>
          </w:tcPr>
          <w:p>
            <w:pPr>
              <w:spacing w:after="0"/>
              <w:rPr>
                <w:sz w:val="15"/>
                <w:szCs w:val="15"/>
                <w:color w:val="auto"/>
              </w:rPr>
            </w:pPr>
          </w:p>
        </w:tc>
        <w:tc>
          <w:tcPr>
            <w:tcW w:w="1100" w:type="dxa"/>
            <w:vAlign w:val="bottom"/>
            <w:tcBorders>
              <w:bottom w:val="single" w:sz="8" w:color="002F4D"/>
            </w:tcBorders>
          </w:tcPr>
          <w:p>
            <w:pPr>
              <w:spacing w:after="0"/>
              <w:rPr>
                <w:sz w:val="15"/>
                <w:szCs w:val="15"/>
                <w:color w:val="auto"/>
              </w:rPr>
            </w:pPr>
          </w:p>
        </w:tc>
        <w:tc>
          <w:tcPr>
            <w:tcW w:w="1160" w:type="dxa"/>
            <w:vAlign w:val="bottom"/>
            <w:tcBorders>
              <w:bottom w:val="single" w:sz="8" w:color="002F4D"/>
            </w:tcBorders>
          </w:tcPr>
          <w:p>
            <w:pPr>
              <w:spacing w:after="0"/>
              <w:rPr>
                <w:sz w:val="15"/>
                <w:szCs w:val="15"/>
                <w:color w:val="auto"/>
              </w:rPr>
            </w:pPr>
          </w:p>
        </w:tc>
        <w:tc>
          <w:tcPr>
            <w:tcW w:w="1020" w:type="dxa"/>
            <w:vAlign w:val="bottom"/>
            <w:tcBorders>
              <w:bottom w:val="single" w:sz="8" w:color="002F4D"/>
            </w:tcBorders>
          </w:tcPr>
          <w:p>
            <w:pPr>
              <w:spacing w:after="0"/>
              <w:rPr>
                <w:sz w:val="15"/>
                <w:szCs w:val="15"/>
                <w:color w:val="auto"/>
              </w:rPr>
            </w:pPr>
          </w:p>
        </w:tc>
        <w:tc>
          <w:tcPr>
            <w:tcW w:w="78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(0.33)</w:t>
            </w:r>
          </w:p>
        </w:tc>
      </w:tr>
      <w:tr>
        <w:trPr>
          <w:trHeight w:val="182"/>
        </w:trPr>
        <w:tc>
          <w:tcPr>
            <w:tcW w:w="564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Income tax effect of pre-tax adjustments</w:t>
            </w:r>
          </w:p>
        </w:tc>
        <w:tc>
          <w:tcPr>
            <w:tcW w:w="1540" w:type="dxa"/>
            <w:vAlign w:val="bottom"/>
            <w:tcBorders>
              <w:bottom w:val="single" w:sz="8" w:color="002F4D"/>
            </w:tcBorders>
          </w:tcPr>
          <w:p>
            <w:pPr>
              <w:jc w:val="right"/>
              <w:ind w:right="405"/>
              <w:spacing w:after="0"/>
              <w:rPr>
                <w:sz w:val="20"/>
                <w:szCs w:val="20"/>
                <w:color w:val="auto"/>
              </w:rPr>
            </w:pPr>
            <w:r>
              <w:rPr>
                <w:rFonts w:ascii="Arial" w:cs="Arial" w:eastAsia="Arial" w:hAnsi="Arial"/>
                <w:sz w:val="15"/>
                <w:szCs w:val="15"/>
                <w:color w:val="auto"/>
              </w:rPr>
              <w:t>(0.40)</w:t>
            </w:r>
          </w:p>
        </w:tc>
        <w:tc>
          <w:tcPr>
            <w:tcW w:w="1100" w:type="dxa"/>
            <w:vAlign w:val="bottom"/>
            <w:tcBorders>
              <w:bottom w:val="single" w:sz="8" w:color="002F4D"/>
            </w:tcBorders>
          </w:tcPr>
          <w:p>
            <w:pPr>
              <w:jc w:val="right"/>
              <w:ind w:right="264"/>
              <w:spacing w:after="0"/>
              <w:rPr>
                <w:sz w:val="20"/>
                <w:szCs w:val="20"/>
                <w:color w:val="auto"/>
              </w:rPr>
            </w:pPr>
            <w:r>
              <w:rPr>
                <w:rFonts w:ascii="Arial" w:cs="Arial" w:eastAsia="Arial" w:hAnsi="Arial"/>
                <w:sz w:val="15"/>
                <w:szCs w:val="15"/>
                <w:color w:val="auto"/>
              </w:rPr>
              <w:t>(0.53)</w:t>
            </w:r>
          </w:p>
        </w:tc>
        <w:tc>
          <w:tcPr>
            <w:tcW w:w="1160" w:type="dxa"/>
            <w:vAlign w:val="bottom"/>
            <w:tcBorders>
              <w:bottom w:val="single" w:sz="8" w:color="002F4D"/>
            </w:tcBorders>
          </w:tcPr>
          <w:p>
            <w:pPr>
              <w:jc w:val="right"/>
              <w:ind w:right="344"/>
              <w:spacing w:after="0"/>
              <w:rPr>
                <w:sz w:val="20"/>
                <w:szCs w:val="20"/>
                <w:color w:val="auto"/>
              </w:rPr>
            </w:pPr>
            <w:r>
              <w:rPr>
                <w:rFonts w:ascii="Arial" w:cs="Arial" w:eastAsia="Arial" w:hAnsi="Arial"/>
                <w:sz w:val="15"/>
                <w:szCs w:val="15"/>
                <w:color w:val="auto"/>
              </w:rPr>
              <w:t>(0.78)</w:t>
            </w:r>
          </w:p>
        </w:tc>
        <w:tc>
          <w:tcPr>
            <w:tcW w:w="1020" w:type="dxa"/>
            <w:vAlign w:val="bottom"/>
            <w:tcBorders>
              <w:bottom w:val="single" w:sz="8" w:color="002F4D"/>
            </w:tcBorders>
          </w:tcPr>
          <w:p>
            <w:pPr>
              <w:jc w:val="right"/>
              <w:ind w:right="264"/>
              <w:spacing w:after="0"/>
              <w:rPr>
                <w:sz w:val="20"/>
                <w:szCs w:val="20"/>
                <w:color w:val="auto"/>
              </w:rPr>
            </w:pPr>
            <w:r>
              <w:rPr>
                <w:rFonts w:ascii="Arial" w:cs="Arial" w:eastAsia="Arial" w:hAnsi="Arial"/>
                <w:sz w:val="15"/>
                <w:szCs w:val="15"/>
                <w:color w:val="auto"/>
              </w:rPr>
              <w:t>(0.34)</w:t>
            </w:r>
          </w:p>
        </w:tc>
        <w:tc>
          <w:tcPr>
            <w:tcW w:w="78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0.17</w:t>
            </w:r>
          </w:p>
        </w:tc>
      </w:tr>
      <w:tr>
        <w:trPr>
          <w:trHeight w:val="220"/>
        </w:trPr>
        <w:tc>
          <w:tcPr>
            <w:tcW w:w="5640" w:type="dxa"/>
            <w:vAlign w:val="bottom"/>
            <w:tcBorders>
              <w:bottom w:val="single" w:sz="8" w:color="002F4D"/>
            </w:tcBorders>
          </w:tcPr>
          <w:p>
            <w:pPr>
              <w:ind w:left="60"/>
              <w:spacing w:after="0" w:line="220" w:lineRule="exact"/>
              <w:rPr>
                <w:sz w:val="20"/>
                <w:szCs w:val="20"/>
                <w:color w:val="auto"/>
              </w:rPr>
            </w:pPr>
            <w:r>
              <w:rPr>
                <w:rFonts w:ascii="Arial" w:cs="Arial" w:eastAsia="Arial" w:hAnsi="Arial"/>
                <w:sz w:val="15"/>
                <w:szCs w:val="15"/>
                <w:color w:val="auto"/>
              </w:rPr>
              <w:t>Adjustment for shares excluded due to anti-dilution effect on GAAP net earnings</w:t>
            </w:r>
            <w:r>
              <w:rPr>
                <w:rFonts w:ascii="Arial" w:cs="Arial" w:eastAsia="Arial" w:hAnsi="Arial"/>
                <w:sz w:val="25"/>
                <w:szCs w:val="25"/>
                <w:color w:val="auto"/>
                <w:vertAlign w:val="superscript"/>
              </w:rPr>
              <w:t>(2)</w:t>
            </w:r>
          </w:p>
        </w:tc>
        <w:tc>
          <w:tcPr>
            <w:tcW w:w="1540" w:type="dxa"/>
            <w:vAlign w:val="bottom"/>
            <w:tcBorders>
              <w:bottom w:val="single" w:sz="8" w:color="002F4D"/>
            </w:tcBorders>
          </w:tcPr>
          <w:p>
            <w:pPr>
              <w:jc w:val="right"/>
              <w:ind w:right="445"/>
              <w:spacing w:after="0"/>
              <w:rPr>
                <w:sz w:val="20"/>
                <w:szCs w:val="20"/>
                <w:color w:val="auto"/>
              </w:rPr>
            </w:pPr>
            <w:r>
              <w:rPr>
                <w:rFonts w:ascii="Arial" w:cs="Arial" w:eastAsia="Arial" w:hAnsi="Arial"/>
                <w:sz w:val="15"/>
                <w:szCs w:val="15"/>
                <w:color w:val="auto"/>
              </w:rPr>
              <w:t>0.08</w:t>
            </w:r>
          </w:p>
        </w:tc>
        <w:tc>
          <w:tcPr>
            <w:tcW w:w="1100" w:type="dxa"/>
            <w:vAlign w:val="bottom"/>
            <w:tcBorders>
              <w:bottom w:val="single" w:sz="8" w:color="002F4D"/>
            </w:tcBorders>
          </w:tcPr>
          <w:p>
            <w:pPr>
              <w:jc w:val="right"/>
              <w:ind w:right="324"/>
              <w:spacing w:after="0"/>
              <w:rPr>
                <w:sz w:val="20"/>
                <w:szCs w:val="20"/>
                <w:color w:val="auto"/>
              </w:rPr>
            </w:pPr>
            <w:r>
              <w:rPr>
                <w:rFonts w:ascii="Arial" w:cs="Arial" w:eastAsia="Arial" w:hAnsi="Arial"/>
                <w:sz w:val="15"/>
                <w:szCs w:val="15"/>
                <w:color w:val="auto"/>
              </w:rPr>
              <w:t>0.07</w:t>
            </w:r>
          </w:p>
        </w:tc>
        <w:tc>
          <w:tcPr>
            <w:tcW w:w="1160" w:type="dxa"/>
            <w:vAlign w:val="bottom"/>
            <w:tcBorders>
              <w:bottom w:val="single" w:sz="8" w:color="002F4D"/>
            </w:tcBorders>
          </w:tcPr>
          <w:p>
            <w:pPr>
              <w:jc w:val="right"/>
              <w:ind w:right="384"/>
              <w:spacing w:after="0"/>
              <w:rPr>
                <w:sz w:val="20"/>
                <w:szCs w:val="20"/>
                <w:color w:val="auto"/>
              </w:rPr>
            </w:pPr>
            <w:r>
              <w:rPr>
                <w:rFonts w:ascii="Arial" w:cs="Arial" w:eastAsia="Arial" w:hAnsi="Arial"/>
                <w:sz w:val="15"/>
                <w:szCs w:val="15"/>
                <w:color w:val="auto"/>
              </w:rPr>
              <w:t>0.08</w:t>
            </w:r>
          </w:p>
        </w:tc>
        <w:tc>
          <w:tcPr>
            <w:tcW w:w="1020" w:type="dxa"/>
            <w:vAlign w:val="bottom"/>
            <w:tcBorders>
              <w:bottom w:val="single" w:sz="8" w:color="002F4D"/>
            </w:tcBorders>
          </w:tcPr>
          <w:p>
            <w:pPr>
              <w:jc w:val="right"/>
              <w:ind w:right="324"/>
              <w:spacing w:after="0"/>
              <w:rPr>
                <w:sz w:val="20"/>
                <w:szCs w:val="20"/>
                <w:color w:val="auto"/>
              </w:rPr>
            </w:pPr>
            <w:r>
              <w:rPr>
                <w:rFonts w:ascii="Arial" w:cs="Arial" w:eastAsia="Arial" w:hAnsi="Arial"/>
                <w:sz w:val="15"/>
                <w:szCs w:val="15"/>
                <w:color w:val="auto"/>
              </w:rPr>
              <w:t>0.12</w:t>
            </w:r>
          </w:p>
        </w:tc>
        <w:tc>
          <w:tcPr>
            <w:tcW w:w="78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0.19</w:t>
            </w:r>
          </w:p>
        </w:tc>
      </w:tr>
      <w:tr>
        <w:trPr>
          <w:trHeight w:val="187"/>
        </w:trPr>
        <w:tc>
          <w:tcPr>
            <w:tcW w:w="564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Adjusted net earnings</w:t>
            </w:r>
          </w:p>
        </w:tc>
        <w:tc>
          <w:tcPr>
            <w:tcW w:w="1540" w:type="dxa"/>
            <w:vAlign w:val="bottom"/>
            <w:tcBorders>
              <w:bottom w:val="single" w:sz="8" w:color="002F4D"/>
            </w:tcBorders>
          </w:tcPr>
          <w:p>
            <w:pPr>
              <w:jc w:val="right"/>
              <w:ind w:right="445"/>
              <w:spacing w:after="0"/>
              <w:rPr>
                <w:sz w:val="20"/>
                <w:szCs w:val="20"/>
                <w:color w:val="auto"/>
              </w:rPr>
            </w:pPr>
            <w:r>
              <w:rPr>
                <w:rFonts w:ascii="Arial" w:cs="Arial" w:eastAsia="Arial" w:hAnsi="Arial"/>
                <w:sz w:val="15"/>
                <w:szCs w:val="15"/>
                <w:color w:val="auto"/>
              </w:rPr>
              <w:t>8.39</w:t>
            </w:r>
          </w:p>
        </w:tc>
        <w:tc>
          <w:tcPr>
            <w:tcW w:w="1100" w:type="dxa"/>
            <w:vAlign w:val="bottom"/>
            <w:tcBorders>
              <w:bottom w:val="single" w:sz="8" w:color="002F4D"/>
            </w:tcBorders>
          </w:tcPr>
          <w:p>
            <w:pPr>
              <w:jc w:val="right"/>
              <w:ind w:right="324"/>
              <w:spacing w:after="0"/>
              <w:rPr>
                <w:sz w:val="20"/>
                <w:szCs w:val="20"/>
                <w:color w:val="auto"/>
              </w:rPr>
            </w:pPr>
            <w:r>
              <w:rPr>
                <w:rFonts w:ascii="Arial" w:cs="Arial" w:eastAsia="Arial" w:hAnsi="Arial"/>
                <w:sz w:val="15"/>
                <w:szCs w:val="15"/>
                <w:color w:val="auto"/>
              </w:rPr>
              <w:t>9.49</w:t>
            </w:r>
          </w:p>
        </w:tc>
        <w:tc>
          <w:tcPr>
            <w:tcW w:w="1160" w:type="dxa"/>
            <w:vAlign w:val="bottom"/>
            <w:tcBorders>
              <w:bottom w:val="single" w:sz="8" w:color="002F4D"/>
            </w:tcBorders>
          </w:tcPr>
          <w:p>
            <w:pPr>
              <w:jc w:val="right"/>
              <w:ind w:right="384"/>
              <w:spacing w:after="0"/>
              <w:rPr>
                <w:sz w:val="20"/>
                <w:szCs w:val="20"/>
                <w:color w:val="auto"/>
              </w:rPr>
            </w:pPr>
            <w:r>
              <w:rPr>
                <w:rFonts w:ascii="Arial" w:cs="Arial" w:eastAsia="Arial" w:hAnsi="Arial"/>
                <w:sz w:val="15"/>
                <w:szCs w:val="15"/>
                <w:color w:val="auto"/>
              </w:rPr>
              <w:t>9.70</w:t>
            </w:r>
          </w:p>
        </w:tc>
        <w:tc>
          <w:tcPr>
            <w:tcW w:w="1020" w:type="dxa"/>
            <w:vAlign w:val="bottom"/>
            <w:tcBorders>
              <w:bottom w:val="single" w:sz="8" w:color="002F4D"/>
            </w:tcBorders>
          </w:tcPr>
          <w:p>
            <w:pPr>
              <w:jc w:val="right"/>
              <w:ind w:right="324"/>
              <w:spacing w:after="0"/>
              <w:rPr>
                <w:sz w:val="20"/>
                <w:szCs w:val="20"/>
                <w:color w:val="auto"/>
              </w:rPr>
            </w:pPr>
            <w:r>
              <w:rPr>
                <w:rFonts w:ascii="Arial" w:cs="Arial" w:eastAsia="Arial" w:hAnsi="Arial"/>
                <w:sz w:val="15"/>
                <w:szCs w:val="15"/>
                <w:color w:val="auto"/>
              </w:rPr>
              <w:t>9.10</w:t>
            </w:r>
          </w:p>
        </w:tc>
        <w:tc>
          <w:tcPr>
            <w:tcW w:w="78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7.94</w:t>
            </w:r>
          </w:p>
        </w:tc>
      </w:tr>
    </w:tbl>
    <w:p>
      <w:pPr>
        <w:spacing w:after="0" w:line="56" w:lineRule="exact"/>
        <w:rPr>
          <w:sz w:val="20"/>
          <w:szCs w:val="20"/>
          <w:color w:val="auto"/>
        </w:rPr>
      </w:pPr>
    </w:p>
    <w:p>
      <w:pPr>
        <w:ind w:left="300" w:hanging="299"/>
        <w:spacing w:after="0"/>
        <w:tabs>
          <w:tab w:leader="none" w:pos="3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Includes amortization of deferred financing costs and convertible notes issuance costs.</w:t>
      </w:r>
    </w:p>
    <w:p>
      <w:pPr>
        <w:spacing w:after="0" w:line="52" w:lineRule="exact"/>
        <w:rPr>
          <w:rFonts w:ascii="Arial" w:cs="Arial" w:eastAsia="Arial" w:hAnsi="Arial"/>
          <w:sz w:val="13"/>
          <w:szCs w:val="13"/>
          <w:color w:val="auto"/>
        </w:rPr>
      </w:pPr>
    </w:p>
    <w:p>
      <w:pPr>
        <w:jc w:val="both"/>
        <w:ind w:left="300" w:hanging="299"/>
        <w:spacing w:after="0" w:line="264" w:lineRule="auto"/>
        <w:tabs>
          <w:tab w:leader="none" w:pos="3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Adjusted diluted weighted average number of shares was calculated based on excluding the dilutive effect of shares to be issued upon conversion of the notes to satisfy the amount in excess of the principal since the Company’s capped call offsets the dilutive impact of the shares underlying the convertible notes. The calculation of adjusted diluted earnings per share excludes the principal portion of the convertible notes as this will always be settled in cash.</w:t>
      </w:r>
    </w:p>
    <w:p>
      <w:pPr>
        <w:spacing w:after="0" w:line="11" w:lineRule="exact"/>
        <w:rPr>
          <w:rFonts w:ascii="Arial" w:cs="Arial" w:eastAsia="Arial" w:hAnsi="Arial"/>
          <w:sz w:val="13"/>
          <w:szCs w:val="13"/>
          <w:color w:val="auto"/>
        </w:rPr>
      </w:pPr>
    </w:p>
    <w:p>
      <w:pPr>
        <w:ind w:left="300" w:hanging="299"/>
        <w:spacing w:after="0" w:line="285" w:lineRule="auto"/>
        <w:tabs>
          <w:tab w:leader="none" w:pos="3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 February 2026, we completed the divestiture of a majority interest in our residential kitchen business segment. For 2025, the historical results of this divested business were accounted for as discontinued operations, and accordingly are not reflected in this figure.</w:t>
      </w:r>
    </w:p>
    <w:p>
      <w:pPr>
        <w:spacing w:after="0" w:line="170" w:lineRule="exact"/>
        <w:rPr>
          <w:sz w:val="20"/>
          <w:szCs w:val="20"/>
          <w:color w:val="auto"/>
        </w:rPr>
      </w:pPr>
    </w:p>
    <w:p>
      <w:pPr>
        <w:ind w:left="8960"/>
        <w:spacing w:after="0"/>
        <w:tabs>
          <w:tab w:leader="none" w:pos="1106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61" w:name="page62"/>
    <w:bookmarkEnd w:id="61"/>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Reconciliation of Operating Income (a GAAP Measure) to Adjusted EBITDA (a Non-GAAP Measure)</w:t>
      </w:r>
      <w:r>
        <w:rPr>
          <w:rFonts w:ascii="Arial" w:cs="Arial" w:eastAsia="Arial" w:hAnsi="Arial"/>
          <w:sz w:val="33"/>
          <w:szCs w:val="33"/>
          <w:b w:val="1"/>
          <w:bCs w:val="1"/>
          <w:color w:val="auto"/>
          <w:vertAlign w:val="superscript"/>
        </w:rPr>
        <w:t>(4)</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380" w:type="dxa"/>
            <w:vAlign w:val="bottom"/>
          </w:tcPr>
          <w:p>
            <w:pPr>
              <w:spacing w:after="0"/>
              <w:rPr>
                <w:sz w:val="24"/>
                <w:szCs w:val="24"/>
                <w:color w:val="auto"/>
              </w:rPr>
            </w:pPr>
          </w:p>
        </w:tc>
        <w:tc>
          <w:tcPr>
            <w:tcW w:w="2600" w:type="dxa"/>
            <w:vAlign w:val="bottom"/>
          </w:tcPr>
          <w:p>
            <w:pPr>
              <w:jc w:val="right"/>
              <w:ind w:right="244"/>
              <w:spacing w:after="0"/>
              <w:rPr>
                <w:sz w:val="20"/>
                <w:szCs w:val="20"/>
                <w:color w:val="auto"/>
              </w:rPr>
            </w:pPr>
            <w:r>
              <w:rPr>
                <w:rFonts w:ascii="Arial" w:cs="Arial" w:eastAsia="Arial" w:hAnsi="Arial"/>
                <w:sz w:val="15"/>
                <w:szCs w:val="15"/>
                <w:b w:val="1"/>
                <w:bCs w:val="1"/>
                <w:color w:val="auto"/>
              </w:rPr>
              <w:t>2025</w:t>
            </w:r>
            <w:r>
              <w:rPr>
                <w:rFonts w:ascii="Arial" w:cs="Arial" w:eastAsia="Arial" w:hAnsi="Arial"/>
                <w:sz w:val="25"/>
                <w:szCs w:val="25"/>
                <w:b w:val="1"/>
                <w:bCs w:val="1"/>
                <w:color w:val="auto"/>
                <w:vertAlign w:val="superscript"/>
              </w:rPr>
              <w:t>(6)</w:t>
            </w:r>
          </w:p>
        </w:tc>
        <w:tc>
          <w:tcPr>
            <w:tcW w:w="1120" w:type="dxa"/>
            <w:vAlign w:val="bottom"/>
          </w:tcPr>
          <w:p>
            <w:pPr>
              <w:jc w:val="right"/>
              <w:ind w:right="244"/>
              <w:spacing w:after="0"/>
              <w:rPr>
                <w:sz w:val="20"/>
                <w:szCs w:val="20"/>
                <w:color w:val="auto"/>
              </w:rPr>
            </w:pPr>
            <w:r>
              <w:rPr>
                <w:rFonts w:ascii="Arial" w:cs="Arial" w:eastAsia="Arial" w:hAnsi="Arial"/>
                <w:sz w:val="15"/>
                <w:szCs w:val="15"/>
                <w:b w:val="1"/>
                <w:bCs w:val="1"/>
                <w:color w:val="auto"/>
              </w:rPr>
              <w:t>2024</w:t>
            </w:r>
          </w:p>
        </w:tc>
        <w:tc>
          <w:tcPr>
            <w:tcW w:w="1140" w:type="dxa"/>
            <w:vAlign w:val="bottom"/>
          </w:tcPr>
          <w:p>
            <w:pPr>
              <w:jc w:val="right"/>
              <w:ind w:right="244"/>
              <w:spacing w:after="0"/>
              <w:rPr>
                <w:sz w:val="20"/>
                <w:szCs w:val="20"/>
                <w:color w:val="auto"/>
              </w:rPr>
            </w:pPr>
            <w:r>
              <w:rPr>
                <w:rFonts w:ascii="Arial" w:cs="Arial" w:eastAsia="Arial" w:hAnsi="Arial"/>
                <w:sz w:val="15"/>
                <w:szCs w:val="15"/>
                <w:b w:val="1"/>
                <w:bCs w:val="1"/>
                <w:color w:val="auto"/>
              </w:rPr>
              <w:t>2023</w:t>
            </w:r>
          </w:p>
        </w:tc>
        <w:tc>
          <w:tcPr>
            <w:tcW w:w="1080" w:type="dxa"/>
            <w:vAlign w:val="bottom"/>
          </w:tcPr>
          <w:p>
            <w:pPr>
              <w:jc w:val="right"/>
              <w:ind w:right="184"/>
              <w:spacing w:after="0"/>
              <w:rPr>
                <w:sz w:val="20"/>
                <w:szCs w:val="20"/>
                <w:color w:val="auto"/>
              </w:rPr>
            </w:pPr>
            <w:r>
              <w:rPr>
                <w:rFonts w:ascii="Arial" w:cs="Arial" w:eastAsia="Arial" w:hAnsi="Arial"/>
                <w:sz w:val="15"/>
                <w:szCs w:val="15"/>
                <w:b w:val="1"/>
                <w:bCs w:val="1"/>
                <w:color w:val="auto"/>
              </w:rPr>
              <w:t>2022</w:t>
            </w:r>
          </w:p>
        </w:tc>
        <w:tc>
          <w:tcPr>
            <w:tcW w:w="920" w:type="dxa"/>
            <w:vAlign w:val="bottom"/>
          </w:tcPr>
          <w:p>
            <w:pPr>
              <w:jc w:val="right"/>
              <w:ind w:right="24"/>
              <w:spacing w:after="0"/>
              <w:rPr>
                <w:sz w:val="20"/>
                <w:szCs w:val="20"/>
                <w:color w:val="auto"/>
              </w:rPr>
            </w:pPr>
            <w:r>
              <w:rPr>
                <w:rFonts w:ascii="Arial" w:cs="Arial" w:eastAsia="Arial" w:hAnsi="Arial"/>
                <w:sz w:val="15"/>
                <w:szCs w:val="15"/>
                <w:b w:val="1"/>
                <w:bCs w:val="1"/>
                <w:color w:val="auto"/>
              </w:rPr>
              <w:t>2021</w:t>
            </w:r>
          </w:p>
        </w:tc>
      </w:tr>
      <w:tr>
        <w:trPr>
          <w:trHeight w:val="189"/>
        </w:trPr>
        <w:tc>
          <w:tcPr>
            <w:tcW w:w="4380" w:type="dxa"/>
            <w:vAlign w:val="bottom"/>
            <w:tcBorders>
              <w:bottom w:val="single" w:sz="8" w:color="002F4D"/>
            </w:tcBorders>
          </w:tcPr>
          <w:p>
            <w:pPr>
              <w:spacing w:after="0"/>
              <w:rPr>
                <w:sz w:val="16"/>
                <w:szCs w:val="16"/>
                <w:color w:val="auto"/>
              </w:rPr>
            </w:pPr>
          </w:p>
        </w:tc>
        <w:tc>
          <w:tcPr>
            <w:tcW w:w="260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002F4D"/>
            </w:tcBorders>
          </w:tcPr>
          <w:p>
            <w:pPr>
              <w:jc w:val="right"/>
              <w:ind w:right="184"/>
              <w:spacing w:after="0"/>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b w:val="1"/>
                <w:bCs w:val="1"/>
                <w:color w:val="auto"/>
              </w:rPr>
              <w:t>($)</w:t>
            </w:r>
          </w:p>
        </w:tc>
      </w:tr>
      <w:tr>
        <w:trPr>
          <w:trHeight w:val="182"/>
        </w:trPr>
        <w:tc>
          <w:tcPr>
            <w:tcW w:w="438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Operating Income</w:t>
            </w:r>
          </w:p>
        </w:tc>
        <w:tc>
          <w:tcPr>
            <w:tcW w:w="260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574,891</w:t>
            </w:r>
          </w:p>
        </w:tc>
        <w:tc>
          <w:tcPr>
            <w:tcW w:w="112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656,188</w:t>
            </w:r>
          </w:p>
        </w:tc>
        <w:tc>
          <w:tcPr>
            <w:tcW w:w="114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634,868</w:t>
            </w:r>
          </w:p>
        </w:tc>
        <w:tc>
          <w:tcPr>
            <w:tcW w:w="1080" w:type="dxa"/>
            <w:vAlign w:val="bottom"/>
            <w:tcBorders>
              <w:bottom w:val="single" w:sz="8" w:color="002F4D"/>
            </w:tcBorders>
          </w:tcPr>
          <w:p>
            <w:pPr>
              <w:jc w:val="right"/>
              <w:ind w:right="184"/>
              <w:spacing w:after="0"/>
              <w:rPr>
                <w:sz w:val="20"/>
                <w:szCs w:val="20"/>
                <w:color w:val="auto"/>
              </w:rPr>
            </w:pPr>
            <w:r>
              <w:rPr>
                <w:rFonts w:ascii="Arial" w:cs="Arial" w:eastAsia="Arial" w:hAnsi="Arial"/>
                <w:sz w:val="15"/>
                <w:szCs w:val="15"/>
                <w:color w:val="auto"/>
              </w:rPr>
              <w:t>639,604</w:t>
            </w:r>
          </w:p>
        </w:tc>
        <w:tc>
          <w:tcPr>
            <w:tcW w:w="92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629,992</w:t>
            </w:r>
          </w:p>
        </w:tc>
      </w:tr>
      <w:tr>
        <w:trPr>
          <w:trHeight w:val="182"/>
        </w:trPr>
        <w:tc>
          <w:tcPr>
            <w:tcW w:w="438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Depreciation</w:t>
            </w:r>
          </w:p>
        </w:tc>
        <w:tc>
          <w:tcPr>
            <w:tcW w:w="260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43,742</w:t>
            </w:r>
          </w:p>
        </w:tc>
        <w:tc>
          <w:tcPr>
            <w:tcW w:w="112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55,609</w:t>
            </w:r>
          </w:p>
        </w:tc>
        <w:tc>
          <w:tcPr>
            <w:tcW w:w="114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50,416</w:t>
            </w:r>
          </w:p>
        </w:tc>
        <w:tc>
          <w:tcPr>
            <w:tcW w:w="1080" w:type="dxa"/>
            <w:vAlign w:val="bottom"/>
            <w:tcBorders>
              <w:bottom w:val="single" w:sz="8" w:color="002F4D"/>
            </w:tcBorders>
          </w:tcPr>
          <w:p>
            <w:pPr>
              <w:jc w:val="right"/>
              <w:ind w:right="184"/>
              <w:spacing w:after="0"/>
              <w:rPr>
                <w:sz w:val="20"/>
                <w:szCs w:val="20"/>
                <w:color w:val="auto"/>
              </w:rPr>
            </w:pPr>
            <w:r>
              <w:rPr>
                <w:rFonts w:ascii="Arial" w:cs="Arial" w:eastAsia="Arial" w:hAnsi="Arial"/>
                <w:sz w:val="15"/>
                <w:szCs w:val="15"/>
                <w:color w:val="auto"/>
              </w:rPr>
              <w:t>44,619</w:t>
            </w:r>
          </w:p>
        </w:tc>
        <w:tc>
          <w:tcPr>
            <w:tcW w:w="92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42,681</w:t>
            </w:r>
          </w:p>
        </w:tc>
      </w:tr>
      <w:tr>
        <w:trPr>
          <w:trHeight w:val="182"/>
        </w:trPr>
        <w:tc>
          <w:tcPr>
            <w:tcW w:w="438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Amortization</w:t>
            </w:r>
          </w:p>
        </w:tc>
        <w:tc>
          <w:tcPr>
            <w:tcW w:w="260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55,255</w:t>
            </w:r>
          </w:p>
        </w:tc>
        <w:tc>
          <w:tcPr>
            <w:tcW w:w="112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64,438</w:t>
            </w:r>
          </w:p>
        </w:tc>
        <w:tc>
          <w:tcPr>
            <w:tcW w:w="114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75,051</w:t>
            </w:r>
          </w:p>
        </w:tc>
        <w:tc>
          <w:tcPr>
            <w:tcW w:w="1080" w:type="dxa"/>
            <w:vAlign w:val="bottom"/>
            <w:tcBorders>
              <w:bottom w:val="single" w:sz="8" w:color="002F4D"/>
            </w:tcBorders>
          </w:tcPr>
          <w:p>
            <w:pPr>
              <w:jc w:val="right"/>
              <w:ind w:right="184"/>
              <w:spacing w:after="0"/>
              <w:rPr>
                <w:sz w:val="20"/>
                <w:szCs w:val="20"/>
                <w:color w:val="auto"/>
              </w:rPr>
            </w:pPr>
            <w:r>
              <w:rPr>
                <w:rFonts w:ascii="Arial" w:cs="Arial" w:eastAsia="Arial" w:hAnsi="Arial"/>
                <w:sz w:val="15"/>
                <w:szCs w:val="15"/>
                <w:color w:val="auto"/>
              </w:rPr>
              <w:t>86,282</w:t>
            </w:r>
          </w:p>
        </w:tc>
        <w:tc>
          <w:tcPr>
            <w:tcW w:w="92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75,785</w:t>
            </w:r>
          </w:p>
        </w:tc>
      </w:tr>
      <w:tr>
        <w:trPr>
          <w:trHeight w:val="182"/>
        </w:trPr>
        <w:tc>
          <w:tcPr>
            <w:tcW w:w="438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Restructuring expenses</w:t>
            </w:r>
          </w:p>
        </w:tc>
        <w:tc>
          <w:tcPr>
            <w:tcW w:w="260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3,270</w:t>
            </w:r>
          </w:p>
        </w:tc>
        <w:tc>
          <w:tcPr>
            <w:tcW w:w="112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14,181</w:t>
            </w:r>
          </w:p>
        </w:tc>
        <w:tc>
          <w:tcPr>
            <w:tcW w:w="114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14,134</w:t>
            </w:r>
          </w:p>
        </w:tc>
        <w:tc>
          <w:tcPr>
            <w:tcW w:w="1080" w:type="dxa"/>
            <w:vAlign w:val="bottom"/>
            <w:tcBorders>
              <w:bottom w:val="single" w:sz="8" w:color="002F4D"/>
            </w:tcBorders>
          </w:tcPr>
          <w:p>
            <w:pPr>
              <w:jc w:val="right"/>
              <w:ind w:right="184"/>
              <w:spacing w:after="0"/>
              <w:rPr>
                <w:sz w:val="20"/>
                <w:szCs w:val="20"/>
                <w:color w:val="auto"/>
              </w:rPr>
            </w:pPr>
            <w:r>
              <w:rPr>
                <w:rFonts w:ascii="Arial" w:cs="Arial" w:eastAsia="Arial" w:hAnsi="Arial"/>
                <w:sz w:val="15"/>
                <w:szCs w:val="15"/>
                <w:color w:val="auto"/>
              </w:rPr>
              <w:t>9,716</w:t>
            </w:r>
          </w:p>
        </w:tc>
        <w:tc>
          <w:tcPr>
            <w:tcW w:w="92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7,655</w:t>
            </w:r>
          </w:p>
        </w:tc>
      </w:tr>
      <w:tr>
        <w:trPr>
          <w:trHeight w:val="182"/>
        </w:trPr>
        <w:tc>
          <w:tcPr>
            <w:tcW w:w="438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Strategic transaction costs</w:t>
            </w:r>
          </w:p>
        </w:tc>
        <w:tc>
          <w:tcPr>
            <w:tcW w:w="260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19,184</w:t>
            </w:r>
          </w:p>
        </w:tc>
        <w:tc>
          <w:tcPr>
            <w:tcW w:w="1120" w:type="dxa"/>
            <w:vAlign w:val="bottom"/>
            <w:tcBorders>
              <w:bottom w:val="single" w:sz="8" w:color="002F4D"/>
            </w:tcBorders>
          </w:tcPr>
          <w:p>
            <w:pPr>
              <w:spacing w:after="0"/>
              <w:rPr>
                <w:sz w:val="15"/>
                <w:szCs w:val="15"/>
                <w:color w:val="auto"/>
              </w:rPr>
            </w:pPr>
          </w:p>
        </w:tc>
        <w:tc>
          <w:tcPr>
            <w:tcW w:w="1140" w:type="dxa"/>
            <w:vAlign w:val="bottom"/>
            <w:tcBorders>
              <w:bottom w:val="single" w:sz="8" w:color="002F4D"/>
            </w:tcBorders>
          </w:tcPr>
          <w:p>
            <w:pPr>
              <w:spacing w:after="0"/>
              <w:rPr>
                <w:sz w:val="15"/>
                <w:szCs w:val="15"/>
                <w:color w:val="auto"/>
              </w:rPr>
            </w:pPr>
          </w:p>
        </w:tc>
        <w:tc>
          <w:tcPr>
            <w:tcW w:w="1080" w:type="dxa"/>
            <w:vAlign w:val="bottom"/>
            <w:tcBorders>
              <w:bottom w:val="single" w:sz="8" w:color="002F4D"/>
            </w:tcBorders>
          </w:tcPr>
          <w:p>
            <w:pPr>
              <w:spacing w:after="0"/>
              <w:rPr>
                <w:sz w:val="15"/>
                <w:szCs w:val="15"/>
                <w:color w:val="auto"/>
              </w:rPr>
            </w:pPr>
          </w:p>
        </w:tc>
        <w:tc>
          <w:tcPr>
            <w:tcW w:w="920" w:type="dxa"/>
            <w:vAlign w:val="bottom"/>
            <w:tcBorders>
              <w:bottom w:val="single" w:sz="8" w:color="002F4D"/>
            </w:tcBorders>
          </w:tcPr>
          <w:p>
            <w:pPr>
              <w:spacing w:after="0"/>
              <w:rPr>
                <w:sz w:val="15"/>
                <w:szCs w:val="15"/>
                <w:color w:val="auto"/>
              </w:rPr>
            </w:pPr>
          </w:p>
        </w:tc>
      </w:tr>
      <w:tr>
        <w:trPr>
          <w:trHeight w:val="182"/>
        </w:trPr>
        <w:tc>
          <w:tcPr>
            <w:tcW w:w="438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Facility consolidation related expenses</w:t>
            </w:r>
          </w:p>
        </w:tc>
        <w:tc>
          <w:tcPr>
            <w:tcW w:w="2600" w:type="dxa"/>
            <w:vAlign w:val="bottom"/>
            <w:tcBorders>
              <w:bottom w:val="single" w:sz="8" w:color="002F4D"/>
            </w:tcBorders>
          </w:tcPr>
          <w:p>
            <w:pPr>
              <w:spacing w:after="0"/>
              <w:rPr>
                <w:sz w:val="15"/>
                <w:szCs w:val="15"/>
                <w:color w:val="auto"/>
              </w:rPr>
            </w:pPr>
          </w:p>
        </w:tc>
        <w:tc>
          <w:tcPr>
            <w:tcW w:w="112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920</w:t>
            </w:r>
          </w:p>
        </w:tc>
        <w:tc>
          <w:tcPr>
            <w:tcW w:w="1140" w:type="dxa"/>
            <w:vAlign w:val="bottom"/>
            <w:tcBorders>
              <w:bottom w:val="single" w:sz="8" w:color="002F4D"/>
            </w:tcBorders>
          </w:tcPr>
          <w:p>
            <w:pPr>
              <w:spacing w:after="0"/>
              <w:rPr>
                <w:sz w:val="15"/>
                <w:szCs w:val="15"/>
                <w:color w:val="auto"/>
              </w:rPr>
            </w:pPr>
          </w:p>
        </w:tc>
        <w:tc>
          <w:tcPr>
            <w:tcW w:w="1080" w:type="dxa"/>
            <w:vAlign w:val="bottom"/>
            <w:tcBorders>
              <w:bottom w:val="single" w:sz="8" w:color="002F4D"/>
            </w:tcBorders>
          </w:tcPr>
          <w:p>
            <w:pPr>
              <w:spacing w:after="0"/>
              <w:rPr>
                <w:sz w:val="15"/>
                <w:szCs w:val="15"/>
                <w:color w:val="auto"/>
              </w:rPr>
            </w:pPr>
          </w:p>
        </w:tc>
        <w:tc>
          <w:tcPr>
            <w:tcW w:w="92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993</w:t>
            </w:r>
          </w:p>
        </w:tc>
      </w:tr>
      <w:tr>
        <w:trPr>
          <w:trHeight w:val="182"/>
        </w:trPr>
        <w:tc>
          <w:tcPr>
            <w:tcW w:w="438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Acquisition related adjustments</w:t>
            </w:r>
          </w:p>
        </w:tc>
        <w:tc>
          <w:tcPr>
            <w:tcW w:w="2600" w:type="dxa"/>
            <w:vAlign w:val="bottom"/>
            <w:tcBorders>
              <w:bottom w:val="single" w:sz="8" w:color="002F4D"/>
            </w:tcBorders>
          </w:tcPr>
          <w:p>
            <w:pPr>
              <w:jc w:val="right"/>
              <w:ind w:right="204"/>
              <w:spacing w:after="0"/>
              <w:rPr>
                <w:sz w:val="20"/>
                <w:szCs w:val="20"/>
                <w:color w:val="auto"/>
              </w:rPr>
            </w:pPr>
            <w:r>
              <w:rPr>
                <w:rFonts w:ascii="Arial" w:cs="Arial" w:eastAsia="Arial" w:hAnsi="Arial"/>
                <w:sz w:val="15"/>
                <w:szCs w:val="15"/>
                <w:color w:val="auto"/>
              </w:rPr>
              <w:t>(912)</w:t>
            </w:r>
          </w:p>
        </w:tc>
        <w:tc>
          <w:tcPr>
            <w:tcW w:w="112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836</w:t>
            </w:r>
          </w:p>
        </w:tc>
        <w:tc>
          <w:tcPr>
            <w:tcW w:w="1140" w:type="dxa"/>
            <w:vAlign w:val="bottom"/>
            <w:tcBorders>
              <w:bottom w:val="single" w:sz="8" w:color="002F4D"/>
            </w:tcBorders>
          </w:tcPr>
          <w:p>
            <w:pPr>
              <w:jc w:val="right"/>
              <w:ind w:right="184"/>
              <w:spacing w:after="0"/>
              <w:rPr>
                <w:sz w:val="20"/>
                <w:szCs w:val="20"/>
                <w:color w:val="auto"/>
              </w:rPr>
            </w:pPr>
            <w:r>
              <w:rPr>
                <w:rFonts w:ascii="Arial" w:cs="Arial" w:eastAsia="Arial" w:hAnsi="Arial"/>
                <w:sz w:val="15"/>
                <w:szCs w:val="15"/>
                <w:color w:val="auto"/>
              </w:rPr>
              <w:t>(3,851)</w:t>
            </w:r>
          </w:p>
        </w:tc>
        <w:tc>
          <w:tcPr>
            <w:tcW w:w="1080" w:type="dxa"/>
            <w:vAlign w:val="bottom"/>
            <w:tcBorders>
              <w:bottom w:val="single" w:sz="8" w:color="002F4D"/>
            </w:tcBorders>
          </w:tcPr>
          <w:p>
            <w:pPr>
              <w:jc w:val="right"/>
              <w:ind w:right="184"/>
              <w:spacing w:after="0"/>
              <w:rPr>
                <w:sz w:val="20"/>
                <w:szCs w:val="20"/>
                <w:color w:val="auto"/>
              </w:rPr>
            </w:pPr>
            <w:r>
              <w:rPr>
                <w:rFonts w:ascii="Arial" w:cs="Arial" w:eastAsia="Arial" w:hAnsi="Arial"/>
                <w:sz w:val="15"/>
                <w:szCs w:val="15"/>
                <w:color w:val="auto"/>
              </w:rPr>
              <w:t>13,852</w:t>
            </w:r>
          </w:p>
        </w:tc>
        <w:tc>
          <w:tcPr>
            <w:tcW w:w="92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4,186</w:t>
            </w:r>
          </w:p>
        </w:tc>
      </w:tr>
      <w:tr>
        <w:trPr>
          <w:trHeight w:val="182"/>
        </w:trPr>
        <w:tc>
          <w:tcPr>
            <w:tcW w:w="438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Merger termination fee, net deal costs</w:t>
            </w:r>
          </w:p>
        </w:tc>
        <w:tc>
          <w:tcPr>
            <w:tcW w:w="2600" w:type="dxa"/>
            <w:vAlign w:val="bottom"/>
            <w:tcBorders>
              <w:bottom w:val="single" w:sz="8" w:color="002F4D"/>
            </w:tcBorders>
          </w:tcPr>
          <w:p>
            <w:pPr>
              <w:spacing w:after="0"/>
              <w:rPr>
                <w:sz w:val="15"/>
                <w:szCs w:val="15"/>
                <w:color w:val="auto"/>
              </w:rPr>
            </w:pPr>
          </w:p>
        </w:tc>
        <w:tc>
          <w:tcPr>
            <w:tcW w:w="1120" w:type="dxa"/>
            <w:vAlign w:val="bottom"/>
            <w:tcBorders>
              <w:bottom w:val="single" w:sz="8" w:color="002F4D"/>
            </w:tcBorders>
          </w:tcPr>
          <w:p>
            <w:pPr>
              <w:spacing w:after="0"/>
              <w:rPr>
                <w:sz w:val="15"/>
                <w:szCs w:val="15"/>
                <w:color w:val="auto"/>
              </w:rPr>
            </w:pPr>
          </w:p>
        </w:tc>
        <w:tc>
          <w:tcPr>
            <w:tcW w:w="1140" w:type="dxa"/>
            <w:vAlign w:val="bottom"/>
            <w:tcBorders>
              <w:bottom w:val="single" w:sz="8" w:color="002F4D"/>
            </w:tcBorders>
          </w:tcPr>
          <w:p>
            <w:pPr>
              <w:spacing w:after="0"/>
              <w:rPr>
                <w:sz w:val="15"/>
                <w:szCs w:val="15"/>
                <w:color w:val="auto"/>
              </w:rPr>
            </w:pPr>
          </w:p>
        </w:tc>
        <w:tc>
          <w:tcPr>
            <w:tcW w:w="1080" w:type="dxa"/>
            <w:vAlign w:val="bottom"/>
            <w:tcBorders>
              <w:bottom w:val="single" w:sz="8" w:color="002F4D"/>
            </w:tcBorders>
          </w:tcPr>
          <w:p>
            <w:pPr>
              <w:spacing w:after="0"/>
              <w:rPr>
                <w:sz w:val="15"/>
                <w:szCs w:val="15"/>
                <w:color w:val="auto"/>
              </w:rPr>
            </w:pPr>
          </w:p>
        </w:tc>
        <w:tc>
          <w:tcPr>
            <w:tcW w:w="92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(90,285)</w:t>
            </w:r>
          </w:p>
        </w:tc>
      </w:tr>
      <w:tr>
        <w:trPr>
          <w:trHeight w:val="182"/>
        </w:trPr>
        <w:tc>
          <w:tcPr>
            <w:tcW w:w="438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Charitable support to Ukraine</w:t>
            </w:r>
          </w:p>
        </w:tc>
        <w:tc>
          <w:tcPr>
            <w:tcW w:w="2600" w:type="dxa"/>
            <w:vAlign w:val="bottom"/>
            <w:tcBorders>
              <w:bottom w:val="single" w:sz="8" w:color="002F4D"/>
            </w:tcBorders>
          </w:tcPr>
          <w:p>
            <w:pPr>
              <w:spacing w:after="0"/>
              <w:rPr>
                <w:sz w:val="15"/>
                <w:szCs w:val="15"/>
                <w:color w:val="auto"/>
              </w:rPr>
            </w:pPr>
          </w:p>
        </w:tc>
        <w:tc>
          <w:tcPr>
            <w:tcW w:w="112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474</w:t>
            </w:r>
          </w:p>
        </w:tc>
        <w:tc>
          <w:tcPr>
            <w:tcW w:w="114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615</w:t>
            </w:r>
          </w:p>
        </w:tc>
        <w:tc>
          <w:tcPr>
            <w:tcW w:w="1080" w:type="dxa"/>
            <w:vAlign w:val="bottom"/>
            <w:tcBorders>
              <w:bottom w:val="single" w:sz="8" w:color="002F4D"/>
            </w:tcBorders>
          </w:tcPr>
          <w:p>
            <w:pPr>
              <w:jc w:val="right"/>
              <w:ind w:right="184"/>
              <w:spacing w:after="0"/>
              <w:rPr>
                <w:sz w:val="20"/>
                <w:szCs w:val="20"/>
                <w:color w:val="auto"/>
              </w:rPr>
            </w:pPr>
            <w:r>
              <w:rPr>
                <w:rFonts w:ascii="Arial" w:cs="Arial" w:eastAsia="Arial" w:hAnsi="Arial"/>
                <w:sz w:val="15"/>
                <w:szCs w:val="15"/>
                <w:color w:val="auto"/>
              </w:rPr>
              <w:t>967</w:t>
            </w:r>
          </w:p>
        </w:tc>
        <w:tc>
          <w:tcPr>
            <w:tcW w:w="920" w:type="dxa"/>
            <w:vAlign w:val="bottom"/>
            <w:tcBorders>
              <w:bottom w:val="single" w:sz="8" w:color="002F4D"/>
            </w:tcBorders>
          </w:tcPr>
          <w:p>
            <w:pPr>
              <w:spacing w:after="0"/>
              <w:rPr>
                <w:sz w:val="15"/>
                <w:szCs w:val="15"/>
                <w:color w:val="auto"/>
              </w:rPr>
            </w:pPr>
          </w:p>
        </w:tc>
      </w:tr>
      <w:tr>
        <w:trPr>
          <w:trHeight w:val="182"/>
        </w:trPr>
        <w:tc>
          <w:tcPr>
            <w:tcW w:w="438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Stock compensation</w:t>
            </w:r>
          </w:p>
        </w:tc>
        <w:tc>
          <w:tcPr>
            <w:tcW w:w="260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13,462</w:t>
            </w:r>
          </w:p>
        </w:tc>
        <w:tc>
          <w:tcPr>
            <w:tcW w:w="112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36,151</w:t>
            </w:r>
          </w:p>
        </w:tc>
        <w:tc>
          <w:tcPr>
            <w:tcW w:w="114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51,047</w:t>
            </w:r>
          </w:p>
        </w:tc>
        <w:tc>
          <w:tcPr>
            <w:tcW w:w="1080" w:type="dxa"/>
            <w:vAlign w:val="bottom"/>
            <w:tcBorders>
              <w:bottom w:val="single" w:sz="8" w:color="002F4D"/>
            </w:tcBorders>
          </w:tcPr>
          <w:p>
            <w:pPr>
              <w:jc w:val="right"/>
              <w:ind w:right="184"/>
              <w:spacing w:after="0"/>
              <w:rPr>
                <w:sz w:val="20"/>
                <w:szCs w:val="20"/>
                <w:color w:val="auto"/>
              </w:rPr>
            </w:pPr>
            <w:r>
              <w:rPr>
                <w:rFonts w:ascii="Arial" w:cs="Arial" w:eastAsia="Arial" w:hAnsi="Arial"/>
                <w:sz w:val="15"/>
                <w:szCs w:val="15"/>
                <w:color w:val="auto"/>
              </w:rPr>
              <w:t>58,368</w:t>
            </w:r>
          </w:p>
        </w:tc>
        <w:tc>
          <w:tcPr>
            <w:tcW w:w="92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42,330</w:t>
            </w:r>
          </w:p>
        </w:tc>
      </w:tr>
      <w:tr>
        <w:trPr>
          <w:trHeight w:val="182"/>
        </w:trPr>
        <w:tc>
          <w:tcPr>
            <w:tcW w:w="438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Gain on sale of plant</w:t>
            </w:r>
          </w:p>
        </w:tc>
        <w:tc>
          <w:tcPr>
            <w:tcW w:w="2600" w:type="dxa"/>
            <w:vAlign w:val="bottom"/>
            <w:tcBorders>
              <w:bottom w:val="single" w:sz="8" w:color="002F4D"/>
            </w:tcBorders>
          </w:tcPr>
          <w:p>
            <w:pPr>
              <w:spacing w:after="0"/>
              <w:rPr>
                <w:sz w:val="15"/>
                <w:szCs w:val="15"/>
                <w:color w:val="auto"/>
              </w:rPr>
            </w:pPr>
          </w:p>
        </w:tc>
        <w:tc>
          <w:tcPr>
            <w:tcW w:w="1120" w:type="dxa"/>
            <w:vAlign w:val="bottom"/>
            <w:tcBorders>
              <w:bottom w:val="single" w:sz="8" w:color="002F4D"/>
            </w:tcBorders>
          </w:tcPr>
          <w:p>
            <w:pPr>
              <w:jc w:val="right"/>
              <w:ind w:right="184"/>
              <w:spacing w:after="0"/>
              <w:rPr>
                <w:sz w:val="20"/>
                <w:szCs w:val="20"/>
                <w:color w:val="auto"/>
              </w:rPr>
            </w:pPr>
            <w:r>
              <w:rPr>
                <w:rFonts w:ascii="Arial" w:cs="Arial" w:eastAsia="Arial" w:hAnsi="Arial"/>
                <w:sz w:val="15"/>
                <w:szCs w:val="15"/>
                <w:color w:val="auto"/>
              </w:rPr>
              <w:t>(1,139)</w:t>
            </w:r>
          </w:p>
        </w:tc>
        <w:tc>
          <w:tcPr>
            <w:tcW w:w="1140" w:type="dxa"/>
            <w:vAlign w:val="bottom"/>
            <w:tcBorders>
              <w:bottom w:val="single" w:sz="8" w:color="002F4D"/>
            </w:tcBorders>
          </w:tcPr>
          <w:p>
            <w:pPr>
              <w:spacing w:after="0"/>
              <w:rPr>
                <w:sz w:val="15"/>
                <w:szCs w:val="15"/>
                <w:color w:val="auto"/>
              </w:rPr>
            </w:pPr>
          </w:p>
        </w:tc>
        <w:tc>
          <w:tcPr>
            <w:tcW w:w="1080" w:type="dxa"/>
            <w:vAlign w:val="bottom"/>
            <w:tcBorders>
              <w:bottom w:val="single" w:sz="8" w:color="002F4D"/>
            </w:tcBorders>
          </w:tcPr>
          <w:p>
            <w:pPr>
              <w:spacing w:after="0"/>
              <w:rPr>
                <w:sz w:val="15"/>
                <w:szCs w:val="15"/>
                <w:color w:val="auto"/>
              </w:rPr>
            </w:pPr>
          </w:p>
        </w:tc>
        <w:tc>
          <w:tcPr>
            <w:tcW w:w="920" w:type="dxa"/>
            <w:vAlign w:val="bottom"/>
            <w:tcBorders>
              <w:bottom w:val="single" w:sz="8" w:color="002F4D"/>
            </w:tcBorders>
          </w:tcPr>
          <w:p>
            <w:pPr>
              <w:jc w:val="right"/>
              <w:spacing w:after="0"/>
              <w:rPr>
                <w:sz w:val="20"/>
                <w:szCs w:val="20"/>
                <w:color w:val="auto"/>
              </w:rPr>
            </w:pPr>
            <w:r>
              <w:rPr>
                <w:rFonts w:ascii="Arial" w:cs="Arial" w:eastAsia="Arial" w:hAnsi="Arial"/>
                <w:sz w:val="15"/>
                <w:szCs w:val="15"/>
                <w:color w:val="auto"/>
              </w:rPr>
              <w:t>(763)</w:t>
            </w:r>
          </w:p>
        </w:tc>
      </w:tr>
      <w:tr>
        <w:trPr>
          <w:trHeight w:val="207"/>
        </w:trPr>
        <w:tc>
          <w:tcPr>
            <w:tcW w:w="4380" w:type="dxa"/>
            <w:vAlign w:val="bottom"/>
            <w:tcBorders>
              <w:bottom w:val="single" w:sz="8" w:color="002F4D"/>
            </w:tcBorders>
          </w:tcPr>
          <w:p>
            <w:pPr>
              <w:ind w:left="60"/>
              <w:spacing w:after="0" w:line="207" w:lineRule="exact"/>
              <w:rPr>
                <w:sz w:val="20"/>
                <w:szCs w:val="20"/>
                <w:color w:val="auto"/>
              </w:rPr>
            </w:pPr>
            <w:r>
              <w:rPr>
                <w:rFonts w:ascii="Arial" w:cs="Arial" w:eastAsia="Arial" w:hAnsi="Arial"/>
                <w:sz w:val="15"/>
                <w:szCs w:val="15"/>
                <w:color w:val="auto"/>
              </w:rPr>
              <w:t>Impairments</w:t>
            </w:r>
            <w:r>
              <w:rPr>
                <w:rFonts w:ascii="Arial" w:cs="Arial" w:eastAsia="Arial" w:hAnsi="Arial"/>
                <w:sz w:val="24"/>
                <w:szCs w:val="24"/>
                <w:color w:val="auto"/>
                <w:vertAlign w:val="superscript"/>
              </w:rPr>
              <w:t>(5)</w:t>
            </w:r>
          </w:p>
        </w:tc>
        <w:tc>
          <w:tcPr>
            <w:tcW w:w="260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10,598</w:t>
            </w:r>
          </w:p>
        </w:tc>
        <w:tc>
          <w:tcPr>
            <w:tcW w:w="112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38,637</w:t>
            </w:r>
          </w:p>
        </w:tc>
        <w:tc>
          <w:tcPr>
            <w:tcW w:w="114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78,114</w:t>
            </w:r>
          </w:p>
        </w:tc>
        <w:tc>
          <w:tcPr>
            <w:tcW w:w="1080" w:type="dxa"/>
            <w:vAlign w:val="bottom"/>
            <w:tcBorders>
              <w:bottom w:val="single" w:sz="8" w:color="002F4D"/>
            </w:tcBorders>
          </w:tcPr>
          <w:p>
            <w:pPr>
              <w:spacing w:after="0"/>
              <w:rPr>
                <w:sz w:val="18"/>
                <w:szCs w:val="18"/>
                <w:color w:val="auto"/>
              </w:rPr>
            </w:pPr>
          </w:p>
        </w:tc>
        <w:tc>
          <w:tcPr>
            <w:tcW w:w="920" w:type="dxa"/>
            <w:vAlign w:val="bottom"/>
            <w:tcBorders>
              <w:bottom w:val="single" w:sz="8" w:color="002F4D"/>
            </w:tcBorders>
          </w:tcPr>
          <w:p>
            <w:pPr>
              <w:spacing w:after="0"/>
              <w:rPr>
                <w:sz w:val="18"/>
                <w:szCs w:val="18"/>
                <w:color w:val="auto"/>
              </w:rPr>
            </w:pPr>
          </w:p>
        </w:tc>
      </w:tr>
      <w:tr>
        <w:trPr>
          <w:trHeight w:val="187"/>
        </w:trPr>
        <w:tc>
          <w:tcPr>
            <w:tcW w:w="4380" w:type="dxa"/>
            <w:vAlign w:val="bottom"/>
            <w:tcBorders>
              <w:bottom w:val="single" w:sz="8" w:color="002F4D"/>
            </w:tcBorders>
          </w:tcPr>
          <w:p>
            <w:pPr>
              <w:ind w:left="60"/>
              <w:spacing w:after="0"/>
              <w:rPr>
                <w:sz w:val="20"/>
                <w:szCs w:val="20"/>
                <w:color w:val="auto"/>
              </w:rPr>
            </w:pPr>
            <w:r>
              <w:rPr>
                <w:rFonts w:ascii="Arial" w:cs="Arial" w:eastAsia="Arial" w:hAnsi="Arial"/>
                <w:sz w:val="15"/>
                <w:szCs w:val="15"/>
                <w:color w:val="auto"/>
              </w:rPr>
              <w:t>Adjusted EBITDA</w:t>
            </w:r>
          </w:p>
        </w:tc>
        <w:tc>
          <w:tcPr>
            <w:tcW w:w="260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719,490</w:t>
            </w:r>
          </w:p>
        </w:tc>
        <w:tc>
          <w:tcPr>
            <w:tcW w:w="112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866,295</w:t>
            </w:r>
          </w:p>
        </w:tc>
        <w:tc>
          <w:tcPr>
            <w:tcW w:w="1140" w:type="dxa"/>
            <w:vAlign w:val="bottom"/>
            <w:tcBorders>
              <w:bottom w:val="single" w:sz="8" w:color="002F4D"/>
            </w:tcBorders>
          </w:tcPr>
          <w:p>
            <w:pPr>
              <w:jc w:val="right"/>
              <w:ind w:right="244"/>
              <w:spacing w:after="0"/>
              <w:rPr>
                <w:sz w:val="20"/>
                <w:szCs w:val="20"/>
                <w:color w:val="auto"/>
              </w:rPr>
            </w:pPr>
            <w:r>
              <w:rPr>
                <w:rFonts w:ascii="Arial" w:cs="Arial" w:eastAsia="Arial" w:hAnsi="Arial"/>
                <w:sz w:val="15"/>
                <w:szCs w:val="15"/>
                <w:color w:val="auto"/>
              </w:rPr>
              <w:t>900,394</w:t>
            </w:r>
          </w:p>
        </w:tc>
        <w:tc>
          <w:tcPr>
            <w:tcW w:w="1080" w:type="dxa"/>
            <w:vAlign w:val="bottom"/>
            <w:tcBorders>
              <w:bottom w:val="single" w:sz="8" w:color="002F4D"/>
            </w:tcBorders>
          </w:tcPr>
          <w:p>
            <w:pPr>
              <w:jc w:val="right"/>
              <w:ind w:right="184"/>
              <w:spacing w:after="0"/>
              <w:rPr>
                <w:sz w:val="20"/>
                <w:szCs w:val="20"/>
                <w:color w:val="auto"/>
              </w:rPr>
            </w:pPr>
            <w:r>
              <w:rPr>
                <w:rFonts w:ascii="Arial" w:cs="Arial" w:eastAsia="Arial" w:hAnsi="Arial"/>
                <w:sz w:val="15"/>
                <w:szCs w:val="15"/>
                <w:color w:val="auto"/>
              </w:rPr>
              <w:t>853,408</w:t>
            </w:r>
          </w:p>
        </w:tc>
        <w:tc>
          <w:tcPr>
            <w:tcW w:w="920" w:type="dxa"/>
            <w:vAlign w:val="bottom"/>
            <w:tcBorders>
              <w:bottom w:val="single" w:sz="8" w:color="002F4D"/>
            </w:tcBorders>
          </w:tcPr>
          <w:p>
            <w:pPr>
              <w:jc w:val="right"/>
              <w:ind w:right="24"/>
              <w:spacing w:after="0"/>
              <w:rPr>
                <w:sz w:val="20"/>
                <w:szCs w:val="20"/>
                <w:color w:val="auto"/>
              </w:rPr>
            </w:pPr>
            <w:r>
              <w:rPr>
                <w:rFonts w:ascii="Arial" w:cs="Arial" w:eastAsia="Arial" w:hAnsi="Arial"/>
                <w:sz w:val="15"/>
                <w:szCs w:val="15"/>
                <w:color w:val="auto"/>
              </w:rPr>
              <w:t>712,574</w:t>
            </w:r>
          </w:p>
        </w:tc>
      </w:tr>
    </w:tbl>
    <w:p>
      <w:pPr>
        <w:spacing w:after="0" w:line="56" w:lineRule="exact"/>
        <w:rPr>
          <w:sz w:val="20"/>
          <w:szCs w:val="20"/>
          <w:color w:val="auto"/>
        </w:rPr>
      </w:pPr>
    </w:p>
    <w:p>
      <w:pPr>
        <w:ind w:left="300" w:hanging="299"/>
        <w:spacing w:after="0"/>
        <w:tabs>
          <w:tab w:leader="none" w:pos="3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Amounts in thousands.</w:t>
      </w:r>
    </w:p>
    <w:p>
      <w:pPr>
        <w:spacing w:after="0" w:line="52" w:lineRule="exact"/>
        <w:rPr>
          <w:rFonts w:ascii="Arial" w:cs="Arial" w:eastAsia="Arial" w:hAnsi="Arial"/>
          <w:sz w:val="13"/>
          <w:szCs w:val="13"/>
          <w:color w:val="auto"/>
        </w:rPr>
      </w:pPr>
    </w:p>
    <w:p>
      <w:pPr>
        <w:ind w:left="300" w:hanging="299"/>
        <w:spacing w:after="0"/>
        <w:tabs>
          <w:tab w:leader="none" w:pos="3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Includes impairment of intangible assets, fixed assets, and assets held for sale.</w:t>
      </w:r>
    </w:p>
    <w:p>
      <w:pPr>
        <w:spacing w:after="0" w:line="52" w:lineRule="exact"/>
        <w:rPr>
          <w:rFonts w:ascii="Arial" w:cs="Arial" w:eastAsia="Arial" w:hAnsi="Arial"/>
          <w:sz w:val="13"/>
          <w:szCs w:val="13"/>
          <w:color w:val="auto"/>
        </w:rPr>
      </w:pPr>
    </w:p>
    <w:p>
      <w:pPr>
        <w:ind w:left="300" w:hanging="299"/>
        <w:spacing w:after="0" w:line="285" w:lineRule="auto"/>
        <w:tabs>
          <w:tab w:leader="none" w:pos="3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 February 2026, we completed the divestiture of a majority interest in our residential kitchen business segment. For 2025, the historical results of this divested business were accounted for as discontinued operations, and accordingly are not reflected in this figure.</w:t>
      </w:r>
    </w:p>
    <w:p>
      <w:pPr>
        <w:spacing w:after="0" w:line="120" w:lineRule="exact"/>
        <w:rPr>
          <w:sz w:val="20"/>
          <w:szCs w:val="20"/>
          <w:color w:val="auto"/>
        </w:rPr>
      </w:pPr>
    </w:p>
    <w:p>
      <w:pPr>
        <w:ind w:left="8960"/>
        <w:spacing w:after="0"/>
        <w:tabs>
          <w:tab w:leader="none" w:pos="11060" w:val="left"/>
        </w:tabs>
        <w:rPr>
          <w:sz w:val="20"/>
          <w:szCs w:val="20"/>
          <w:color w:val="auto"/>
        </w:rPr>
      </w:pPr>
      <w:r>
        <w:rPr>
          <w:rFonts w:ascii="Arial" w:cs="Arial" w:eastAsia="Arial" w:hAnsi="Arial"/>
          <w:sz w:val="15"/>
          <w:szCs w:val="15"/>
          <w:color w:val="00304D"/>
        </w:rPr>
        <w:t>2026 PROXY STATEMENT</w:t>
      </w:r>
      <w:r>
        <w:rPr>
          <w:sz w:val="20"/>
          <w:szCs w:val="20"/>
          <w:color w:val="auto"/>
        </w:rPr>
        <w:tab/>
      </w:r>
      <w:r>
        <w:rPr>
          <w:rFonts w:ascii="Arial" w:cs="Arial" w:eastAsia="Arial" w:hAnsi="Arial"/>
          <w:sz w:val="14"/>
          <w:szCs w:val="14"/>
          <w:b w:val="1"/>
          <w:bCs w:val="1"/>
          <w:color w:val="00304D"/>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210" cy="317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-100965</wp:posOffset>
            </wp:positionV>
            <wp:extent cx="641350" cy="958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41350" cy="95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62" w:name="page63"/>
    <w:bookmarkEnd w:id="62"/>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41210" cy="8528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1210" cy="8528050"/>
                    </a:xfrm>
                    <a:prstGeom prst="rect">
                      <a:avLst/>
                    </a:prstGeom>
                    <a:noFill/>
                  </pic:spPr>
                </pic:pic>
              </a:graphicData>
            </a:graphic>
          </wp:anchor>
        </w:drawing>
      </w:r>
    </w:p>
    <w:p>
      <w:pPr>
        <w:sectPr>
          <w:pgSz w:w="11900" w:h="16838" w:orient="portrait"/>
          <w:cols w:equalWidth="0" w:num="1">
            <w:col w:w="10139"/>
          </w:cols>
          <w:pgMar w:left="320" w:top="231" w:right="1440" w:bottom="1440" w:gutter="0" w:footer="0" w:header="0"/>
        </w:sectPr>
      </w:pPr>
    </w:p>
    <w:bookmarkStart w:id="63" w:name="page64"/>
    <w:bookmarkEnd w:id="63"/>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41210" cy="85839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1210" cy="8583930"/>
                    </a:xfrm>
                    <a:prstGeom prst="rect">
                      <a:avLst/>
                    </a:prstGeom>
                    <a:noFill/>
                  </pic:spPr>
                </pic:pic>
              </a:graphicData>
            </a:graphic>
          </wp:anchor>
        </w:drawing>
      </w:r>
    </w:p>
    <w:p>
      <w:pPr>
        <w:sectPr>
          <w:pgSz w:w="11900" w:h="16838" w:orient="portrait"/>
          <w:cols w:equalWidth="0" w:num="1">
            <w:col w:w="10139"/>
          </w:cols>
          <w:pgMar w:left="320" w:top="231" w:right="1440" w:bottom="1440" w:gutter="0" w:footer="0" w:header="0"/>
        </w:sectPr>
      </w:pPr>
    </w:p>
    <w:bookmarkStart w:id="64" w:name="page65"/>
    <w:bookmarkEnd w:id="64"/>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41210" cy="84156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1210" cy="8415655"/>
                    </a:xfrm>
                    <a:prstGeom prst="rect">
                      <a:avLst/>
                    </a:prstGeom>
                    <a:noFill/>
                  </pic:spPr>
                </pic:pic>
              </a:graphicData>
            </a:graphic>
          </wp:anchor>
        </w:drawing>
      </w:r>
    </w:p>
    <w:sectPr>
      <w:pgSz w:w="11900" w:h="16838" w:orient="portrait"/>
      <w:cols w:equalWidth="0" w:num="1">
        <w:col w:w="10139"/>
      </w:cols>
      <w:pgMar w:left="320" w:top="2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1)"/>
      <w:numFmt w:val="lowerLetter"/>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3"/>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1)"/>
      <w:numFmt w:val="decimal"/>
      <w:start w:val="8"/>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1)"/>
      <w:numFmt w:val="decimal"/>
      <w:start w:val="4"/>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decimal"/>
      <w:start w:val="3"/>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1)"/>
      <w:numFmt w:val="decimal"/>
      <w:start w:val="1"/>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2026-04-08T16:00:41Z</dcterms:created>
  <dcterms:modified xsi:type="dcterms:W3CDTF">2026-04-08T16:00:41Z</dcterms:modified>
</cp:coreProperties>
</file>